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F3864"/>
          <w:sz w:val="52"/>
          <w:szCs w:val="52"/>
        </w:rPr>
        <w:t xml:space="preserve">NeelPrajna × QRF</w:t>
      </w:r>
    </w:p>
    <w:p>
      <w:pPr>
        <w:spacing w:after="200"/>
        <w:jc w:val="center"/>
      </w:pPr>
      <w:r>
        <w:rPr>
          <w:color w:val="2E74B5"/>
          <w:sz w:val="28"/>
          <w:szCs w:val="28"/>
        </w:rPr>
        <w:t xml:space="preserve">Joint Automation Plan v1.0</w:t>
      </w:r>
    </w:p>
    <w:p>
      <w:pPr>
        <w:spacing w:after="120"/>
        <w:jc w:val="center"/>
      </w:pPr>
      <w:r>
        <w:rPr>
          <w:i/>
          <w:iCs/>
          <w:color w:val="595959"/>
          <w:sz w:val="22"/>
          <w:szCs w:val="22"/>
        </w:rPr>
        <w:t xml:space="preserve">Operations automated to the maximum the machine allows; governance permanently human (ADR-005).</w:t>
      </w:r>
    </w:p>
    <w:p>
      <w:pPr>
        <w:spacing w:after="120"/>
        <w:jc w:val="center"/>
      </w:pPr>
      <w:r>
        <w:rPr>
          <w:color w:val="595959"/>
          <w:sz w:val="19"/>
          <w:szCs w:val="19"/>
        </w:rPr>
        <w:t xml:space="preserve">Author: Fable (Architect) · 2026-07-29 · Canonical source: NP_JOINT_AUTOMATION_PLAN.md</w:t>
      </w:r>
    </w:p>
    <w:p>
      <w:r>
        <w:br w:type="page"/>
      </w:r>
    </w:p>
    <w:p>
      <w:pPr>
        <w:pStyle w:val="Heading1"/>
        <w:spacing w:after="140" w:before="320"/>
      </w:pPr>
      <w:r>
        <w:t xml:space="preserve">1. Review Verdict on the F:\NeelPrajna Automation Estate (live-verified)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650"/>
        <w:gridCol w:w="5140"/>
      </w:tblGrid>
      <w:tr>
        <w:trPr>
          <w:tblHeader/>
        </w:trPr>
        <w:tc>
          <w:tcPr>
            <w:tcW w:type="dxa" w:w="18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6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Documented</w:t>
            </w:r>
          </w:p>
        </w:tc>
        <w:tc>
          <w:tcPr>
            <w:tcW w:type="dxa" w:w="51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live state (2026-07-29)</w:t>
            </w:r>
          </w:p>
        </w:tc>
      </w:tr>
      <w:tr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Automation bridge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v1 doc: 3 job types, C:\ path</w:t>
            </w:r>
          </w:p>
        </w:tc>
        <w:tc>
          <w:tcPr>
            <w:tcW w:type="dxa" w:w="5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Agent v2.14.0 READY, heartbeat 2 s fresh, F:\NeelPrajna\bridge, 15 completed jobs incl. automated report screenshots, preserve job + bundle tracking</w:t>
            </w:r>
          </w:p>
        </w:tc>
      </w:tr>
      <w:tr>
        <w:tc>
          <w:tcPr>
            <w:tcW w:type="dxa" w:w="185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Supervisor/Runner split</w:t>
            </w:r>
          </w:p>
        </w:tc>
        <w:tc>
          <w:tcPr>
            <w:tcW w:type="dxa" w:w="265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Contract v1.1, owner-signed 2026-07-27</w:t>
            </w:r>
          </w:p>
        </w:tc>
        <w:tc>
          <w:tcPr>
            <w:tcW w:type="dxa" w:w="514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Supervisor 1.1.0 HEALTHY; all 7 checks green with value+threshold (G-7); atomic publication; self+config SHA-256 attested (G-6); 310 GB free</w:t>
            </w:r>
          </w:p>
        </w:tc>
      </w:tr>
      <w:tr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Preflight &amp; lab identity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Design v1.1 §10</w:t>
            </w:r>
          </w:p>
        </w:tc>
        <w:tc>
          <w:tcPr>
            <w:tcW w:type="dxa" w:w="5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Preflight 1.5.0: terminal/metaeditor hashed+versioned, deploy dir, deployed .ex5 hash and age — environment-level run identity live</w:t>
            </w:r>
          </w:p>
        </w:tc>
      </w:tr>
      <w:tr>
        <w:tc>
          <w:tcPr>
            <w:tcW w:type="dxa" w:w="185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Experiment runner v2</w:t>
            </w:r>
          </w:p>
        </w:tc>
        <w:tc>
          <w:tcPr>
            <w:tcW w:type="dxa" w:w="265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Design v1.1 + v1.2, design-frozen (D1–D32)</w:t>
            </w:r>
          </w:p>
        </w:tc>
        <w:tc>
          <w:tcPr>
            <w:tcW w:type="dxa" w:w="514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Partially built beyond v1; A4.0 spike (tester screenshot feasibility) remains the gating unknown for the full capture pass</w:t>
            </w:r>
          </w:p>
        </w:tc>
      </w:tr>
    </w:tbl>
    <w:p>
      <w:pPr>
        <w:spacing w:after="140" w:line="300"/>
        <w:jc w:val="both"/>
      </w:pPr>
      <w:r>
        <w:rPr>
          <w:b/>
          <w:bCs/>
          <w:sz w:val="22"/>
          <w:szCs w:val="22"/>
        </w:rPr>
        <w:t xml:space="preserve">Verdict: adopt, don't redesign. </w:t>
      </w:r>
      <w:r>
        <w:rPr>
          <w:sz w:val="22"/>
          <w:szCs w:val="22"/>
        </w:rPr>
        <w:t xml:space="preserve">The v1.2 design-freeze clause stands — this plan schedules and applies the existing design.</w:t>
      </w:r>
    </w:p>
    <w:p>
      <w:pPr>
        <w:spacing w:after="140" w:line="300"/>
        <w:jc w:val="both"/>
      </w:pPr>
      <w:r>
        <w:rPr>
          <w:b/>
          <w:bCs/>
          <w:sz w:val="22"/>
          <w:szCs w:val="22"/>
        </w:rPr>
        <w:t xml:space="preserve">Finding F-17 (docs lag reality, good direction): </w:t>
      </w:r>
      <w:r>
        <w:rPr>
          <w:sz w:val="22"/>
          <w:szCs w:val="22"/>
        </w:rPr>
        <w:t xml:space="preserve">AUTOMATION_BRIDGE.md still teaches the C:\ path and a 3-job v1 agent; the live system is F:\ on v2.14.0. A booting session following the doc would poll a dead path — the dead-mailbox failure the doc itself warns about. Remedy: WO-A.</w:t>
      </w:r>
    </w:p>
    <w:p>
      <w:pPr>
        <w:pStyle w:val="Heading1"/>
        <w:spacing w:after="140" w:before="320"/>
      </w:pPr>
      <w:r>
        <w:t xml:space="preserve">2. Learnings Adopted, By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Typed jobs only; </w:t>
      </w:r>
      <w:r>
        <w:rPr>
          <w:sz w:val="22"/>
          <w:szCs w:val="22"/>
        </w:rPr>
        <w:t xml:space="preserve">no command escape hatch, ever (D1). Executable paths in config, never in jobs.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Run identity: </w:t>
      </w:r>
      <w:r>
        <w:rPr>
          <w:sz w:val="22"/>
          <w:szCs w:val="22"/>
        </w:rPr>
        <w:t xml:space="preserve">every run produces a manifest or it is not a run; archive append-only (D4/D5); atomic hand-off, watchdog, multi-signal completion, harvest by run id (D6–D9).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Guardrails travel with the automation: </w:t>
      </w:r>
      <w:r>
        <w:rPr>
          <w:sz w:val="22"/>
          <w:szCs w:val="22"/>
        </w:rPr>
        <w:t xml:space="preserve">windows register with one-way BURNED; comparability refusal; n-floor honesty; predictions-older-than-run check; fixed ranking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Multimodal evidence, correctly subordinated: </w:t>
      </w:r>
      <w:r>
        <w:rPr>
          <w:sz w:val="22"/>
          <w:szCs w:val="22"/>
        </w:rPr>
        <w:t xml:space="preserve">verdicts computed then drawn (D17); objects.csv text diff as the deterministic instrument (D20); no provenance, no capture (D14); NAVFAIL self-invalidation (D16); capture as a separate pass over events.csv (D19); event_uid + event_key (D26); AI visual verdicts advisory only — never a gate (D22).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Supervisor constitution: </w:t>
      </w:r>
      <w:r>
        <w:rPr>
          <w:sz w:val="22"/>
          <w:szCs w:val="22"/>
        </w:rPr>
        <w:t xml:space="preserve">silence is negative; fail closed; never guess a schema; atomic; non-destructive; attested; traceable (G-1..G-7); firmware-style evolution; the freeze criterion.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3. Automation Architecture of the Joint Work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00"/>
        <w:gridCol w:w="3200"/>
        <w:gridCol w:w="184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Surface</w:t>
            </w:r>
          </w:p>
        </w:tc>
        <w:tc>
          <w:tcPr>
            <w:tcW w:type="dxa" w:w="3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runs there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W w:type="dxa" w:w="18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Human touches (target)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F:\QRF (Python)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Detector build, registrations, Battery, IVF, drills, tests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Claude Code fresh sessions per ARCH-NP (ADR-008 rhythm)</w:t>
            </w:r>
          </w:p>
        </w:tc>
        <w:tc>
          <w:tcPr>
            <w:tcW w:type="dxa" w:w="1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Rulings + Go/No-Go only</w:t>
            </w:r>
          </w:p>
        </w:tc>
      </w:tr>
      <w:tr>
        <w:tc>
          <w:tcPr>
            <w:tcW w:type="dxa" w:w="15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MT5 lab</w:t>
            </w:r>
          </w:p>
        </w:tc>
        <w:tc>
          <w:tcPr>
            <w:tcW w:type="dxa" w:w="31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R6 collection, capture passes, EA-side evidence</w:t>
            </w:r>
          </w:p>
        </w:tc>
        <w:tc>
          <w:tcPr>
            <w:tcW w:type="dxa" w:w="32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live bridge: experiment / capture / regress / preserve jobs under the Supervisor</w:t>
            </w:r>
          </w:p>
        </w:tc>
        <w:tc>
          <w:tcPr>
            <w:tcW w:type="dxa" w:w="184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 routine (agent self-starts)</w:t>
            </w:r>
          </w:p>
        </w:tc>
      </w:tr>
    </w:tbl>
    <w:p>
      <w:pPr>
        <w:spacing w:after="140" w:line="300"/>
        <w:jc w:val="both"/>
      </w:pPr>
      <w:r>
        <w:rPr>
          <w:sz w:val="22"/>
          <w:szCs w:val="22"/>
        </w:rPr>
        <w:t xml:space="preserve">The joint sprint loop: ARCH-NP sealed → Claude Code implements (QRF side) → bridge jobs execute (MT5 side) → evidence bundles assemble → IVF re-derives → HC reviews the bundle → REV → Owner Go/No-Go. Every arrow except the last is machine-executed. The last is the point.</w:t>
      </w:r>
    </w:p>
    <w:p>
      <w:pPr>
        <w:pStyle w:val="Heading1"/>
        <w:spacing w:after="140" w:before="320"/>
      </w:pPr>
      <w:r>
        <w:t xml:space="preserve">4. Sprint-by-Sprint Automation Mapping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NP-S1: </w:t>
      </w:r>
      <w:r>
        <w:rPr>
          <w:sz w:val="22"/>
          <w:szCs w:val="22"/>
        </w:rPr>
        <w:t xml:space="preserve">pure QRF-side; Claude Code runs detector, drills, registration, Battery, comparison unattended. New cross-repo use: input NP_Trades exports refreshed as tagged bridge backtest jobs, so even the input data has a manifest. Owner touches: 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NP-S2: </w:t>
      </w:r>
      <w:r>
        <w:rPr>
          <w:sz w:val="22"/>
          <w:szCs w:val="22"/>
        </w:rPr>
        <w:t xml:space="preserve">the bridge's showcase — R6 as spec-driven experiment jobs, watchdog-guarded, preserve-archived; withheld OOS window enters both registers (tests/windows.json and the QRF WindowLedger by the Owner's typed phrase) with an automated consistency check. Owner touches: 2 across months.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NP-S3: </w:t>
      </w:r>
      <w:r>
        <w:rPr>
          <w:sz w:val="22"/>
          <w:szCs w:val="22"/>
        </w:rPr>
        <w:t xml:space="preserve">per-detector certification drills scripted; the capture pass produces annotated, provenance-stamped, verdict-drawn PNGs from events.csv — the IVF_HC_Trades lineage coming home to QRF's HC layer. Gated on WO-B. Owner touches: ruling + Go/No-Go per batch.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NP-S4: </w:t>
      </w:r>
      <w:r>
        <w:rPr>
          <w:sz w:val="22"/>
          <w:szCs w:val="22"/>
        </w:rPr>
        <w:t xml:space="preserve">NB-1..NB-5 as queued jobs — blinded interleaving with Owner-held answer keys, negative-control runs, tamper drills on a sacrificial copy; stranger audit as a read-only fresh session. Owner touches: 3.</w:t>
      </w:r>
    </w:p>
    <w:p>
      <w:pPr>
        <w:pStyle w:val="Heading1"/>
        <w:spacing w:after="140" w:before="320"/>
      </w:pPr>
      <w:r>
        <w:t xml:space="preserve">5. The Owner Touch Budget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Per ADR-005, restated: routine operational touches target zero and every exception is logged and counted; governance touches are not minimized — they are the system. Permanently human, unchanged and un-shrinkable: ratifications and freezes · VIRGIN designation/unlock and BURNED marking · α-budgets · verdict authority · promotion and golden-run status · arming anything real · the findings tally · Go/No-Go. An automation proposal that would remove one of these is refused by rule.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64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Routine ops touches</w:t>
            </w:r>
          </w:p>
        </w:tc>
        <w:tc>
          <w:tcPr>
            <w:tcW w:type="dxa" w:w="46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Governance touches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NP-S1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 (four preconditions + Go/No-Go)</w:t>
            </w:r>
          </w:p>
        </w:tc>
      </w:tr>
      <w:tr>
        <w:tc>
          <w:tcPr>
            <w:tcW w:type="dxa" w:w="18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NP-S2</w:t>
            </w:r>
          </w:p>
        </w:tc>
        <w:tc>
          <w:tcPr>
            <w:tcW w:type="dxa" w:w="32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 (agent self-starts)</w:t>
            </w:r>
          </w:p>
        </w:tc>
        <w:tc>
          <w:tcPr>
            <w:tcW w:type="dxa" w:w="464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 (OOS designation, Go/No-Go)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NP-S3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2–4 (ruling + Go/No-Go per batch)</w:t>
            </w:r>
          </w:p>
        </w:tc>
      </w:tr>
      <w:tr>
        <w:tc>
          <w:tcPr>
            <w:tcW w:type="dxa" w:w="18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NP-S4</w:t>
            </w:r>
          </w:p>
        </w:tc>
        <w:tc>
          <w:tcPr>
            <w:tcW w:type="dxa" w:w="32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464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 (answer keys, acceptance, boundary rulings)</w:t>
            </w:r>
          </w:p>
        </w:tc>
      </w:tr>
    </w:tbl>
    <w:p>
      <w:pPr>
        <w:pStyle w:val="Heading1"/>
        <w:spacing w:after="140" w:before="320"/>
      </w:pPr>
      <w:r>
        <w:t xml:space="preserve">6. Work Orders (pre-sprint, small, sequenced)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WO-A — Documentation truth pass (½ session): </w:t>
      </w:r>
      <w:r>
        <w:rPr>
          <w:sz w:val="22"/>
          <w:szCs w:val="22"/>
        </w:rPr>
        <w:t xml:space="preserve">rewrite AUTOMATION_BRIDGE.md against v2.14.0 reality; append correction note to design v1.1 §1; same refresh for F:\QRF AI_PROJECT_STATE hand rows and README/CHANGELOG. Exit: a cold session booting from docs alone reaches the live heartbeat first 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WO-B — The A4.0 spike (30 min, decisive): </w:t>
      </w:r>
      <w:r>
        <w:rPr>
          <w:sz w:val="22"/>
          <w:szCs w:val="22"/>
        </w:rPr>
        <w:t xml:space="preserve">can ChartScreenShot + object drawing work under the tester at all? If not, certify the decoupled post-run capture as the only path. Everything visual in NP-S3/S4 sequences behind this answer.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WO-C — Cross-repo evidence linkage (1 session): </w:t>
      </w:r>
      <w:r>
        <w:rPr>
          <w:sz w:val="22"/>
          <w:szCs w:val="22"/>
        </w:rPr>
        <w:t xml:space="preserve">bridge manifests gain the QRF record ids their data fed; QRF NP registrations gain the producing run's manifest path. Chain of custody walkable both directions, machine-checked in IVF.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WO-D — Windows-register consistency check (small): </w:t>
      </w:r>
      <w:r>
        <w:rPr>
          <w:sz w:val="22"/>
          <w:szCs w:val="22"/>
        </w:rPr>
        <w:t xml:space="preserve">automated comparison of tests/windows.json vs QRF WindowLedger for shared market time; divergence is a tallied finding.</w:t>
      </w:r>
    </w:p>
    <w:p>
      <w:pPr>
        <w:pStyle w:val="Heading1"/>
        <w:spacing w:after="140" w:before="320"/>
      </w:pPr>
      <w:r>
        <w:t xml:space="preserve">7. Standing Boundaries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The bridge's human-only list, the D22 advisory ceiling, the Supervisor freeze criterion, and Constitution v2.0 §6 apply jointly and permanently. Speed is an operations property; authority is not. Success is two numbers moving in opposite directions: routine touches per sprint toward zero, and the fraction of Girish's remaining touches that are pure judgment toward one hundred percent.</w:t>
      </w:r>
    </w:p>
    <w:p>
      <w:pPr>
        <w:spacing w:after="100" w:before="200"/>
        <w:jc w:val="center"/>
      </w:pPr>
      <w:r>
        <w:rPr>
          <w:i/>
          <w:iCs/>
          <w:color w:val="1F3864"/>
          <w:sz w:val="21"/>
          <w:szCs w:val="21"/>
        </w:rPr>
        <w:t xml:space="preserve">Anchor: automation may build and measure everything; only the Owner arms, designates, and signs — and the day that line blurs is the day the automation has failed, however fast it runs.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NeelPrajna × QRF — Joint Automation Plan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2026-07-29T10:15:40.677Z</dcterms:created>
  <dcterms:modified xsi:type="dcterms:W3CDTF">2026-07-29T10:15:40.704Z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