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F766E"/>
          <w:sz w:val="18"/>
          <w:szCs w:val="18"/>
        </w:rPr>
        <w:t xml:space="preserve">AmphenolCIT  |  SAP S/4HANA Post-Go-Live Program  |  Enterprise Architecture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7313B"/>
          <w:sz w:val="48"/>
          <w:szCs w:val="48"/>
        </w:rPr>
        <w:t xml:space="preserve">Tech Debt Collection</w:t>
      </w:r>
    </w:p>
    <w:p>
      <w:pPr>
        <w:spacing w:after="120"/>
      </w:pPr>
      <w:r>
        <w:rPr>
          <w:rFonts w:ascii="Calibri" w:cs="Calibri" w:eastAsia="Calibri" w:hAnsi="Calibri"/>
          <w:color w:val="4B5563"/>
          <w:sz w:val="26"/>
          <w:szCs w:val="26"/>
        </w:rPr>
        <w:t xml:space="preserve">Quick Reference Guide for workshops, interviews and system analysis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Draft v0.1  |  September 2026  |  Companion to: S/4HANA Tech Debt &amp; Innovation Strategy deck and the Tech Debt Planner workbook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6F2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313B"/>
                <w:sz w:val="21"/>
                <w:szCs w:val="21"/>
              </w:rPr>
              <w:t xml:space="preserve">The five golden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One backlog.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Features, defects, tech debt, enablers and risk items all go in the same register so they compete for the same capacity.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Evidence over opinion.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Attach a transaction, report, ATC result, screenshot or usage number to every item.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Name the interest.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what the debt costs every month (hours, incidents, blocked features). No interest, low priority.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Every item has a business owner.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IT owns the fix, the business owns the value and the priority argument.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Small is fine, vague is not.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10-minute workaround logged today beats a perfect item logged never. Use the minimum data set (Section 4).</w:t>
            </w:r>
          </w:p>
        </w:tc>
      </w:tr>
    </w:tbl>
    <w:p>
      <w:pPr>
        <w:pStyle w:val="Heading1"/>
        <w:keepNext/>
        <w:keepLines/>
        <w:spacing w:after="120" w:before="240"/>
      </w:pPr>
      <w:r>
        <w:rPr>
          <w:rFonts w:ascii="Calibri" w:cs="Calibri" w:eastAsia="Calibri" w:hAnsi="Calibri"/>
          <w:b/>
          <w:bCs/>
          <w:color w:val="17313B"/>
          <w:sz w:val="30"/>
          <w:szCs w:val="30"/>
        </w:rPr>
        <w:t xml:space="preserve">1. Is it a feature, a defect or tech debt?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>Classify before you score. Use the first question that answers “yes”.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3000"/>
        <w:gridCol w:w="2480"/>
      </w:tblGrid>
      <w:tr>
        <w:trPr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7313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7313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question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7313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AmphenolCIT example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7313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Defect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Does something not work as designed or as it did before?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EDI ORDERS IDocs fail with status 51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P1/P2: expedite lane, bypass ranking. P3/P4: backlog with WSJF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Risk / Compliance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Is there a deadline, audit, security or maintenance-end driver?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Behind latest Feature Pack; PI/PO maintenance horizon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Backlog; high Time Criticality score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Tech Debt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Does it work today but make every future change slower, riskier or impossible?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Business data held in Z-fields that Fiori apps and APIs cannot see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Backlog; score Interest + Principal and WSJF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Enabler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Is it platform or architecture work that other items depend on?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Work Zone subaccount + IdP; Integration Suite landing zone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Backlog; high Opportunity Enablement score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Feature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Does it add or improve a business capability?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Monitor Material Coverage app for planners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Backlog; WSJF</w:t>
            </w:r>
          </w:p>
        </w:tc>
      </w:tr>
    </w:tbl>
    <w:p>
      <w:pPr>
        <w:pStyle w:val="Heading1"/>
        <w:keepNext/>
        <w:keepLines/>
        <w:spacing w:after="120" w:before="240"/>
      </w:pPr>
      <w:r>
        <w:rPr>
          <w:rFonts w:ascii="Calibri" w:cs="Calibri" w:eastAsia="Calibri" w:hAnsi="Calibri"/>
          <w:b/>
          <w:bCs/>
          <w:color w:val="17313B"/>
          <w:sz w:val="30"/>
          <w:szCs w:val="30"/>
        </w:rPr>
        <w:t xml:space="preserve">2. Where to look: seven categories of S/4HANA tech debt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>Mapped to SAP’s clean core dimensions (Processes, Extensibility, Data, Integration, Operations) plus user experience and quality.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3520"/>
        <w:gridCol w:w="3000"/>
      </w:tblGrid>
      <w:tr>
        <w:trPr>
          <w:tblHeader/>
        </w:trPr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7313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7313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Symptoms you hear</w:t>
            </w:r>
          </w:p>
        </w:tc>
        <w:tc>
          <w:tcPr>
            <w:tcW w:type="dxa" w:w="3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7313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Evidence: tool / transaction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7313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Typical fix pattern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6"/>
                <w:szCs w:val="16"/>
              </w:rPr>
              <w:t xml:space="preserve">Custom code &amp; modifications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6"/>
                <w:szCs w:val="16"/>
              </w:rPr>
              <w:t xml:space="preserve">(Extensibility)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“Upgrades take months”, “only one developer understands it”</w:t>
            </w:r>
          </w:p>
        </w:tc>
        <w:tc>
          <w:tcPr>
            <w:tcW w:type="dxa" w:w="3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ATC with clean-core / ABAP Cloud readiness checks; SCMON / SUSG usage data; SE95 modification browser; SPAU/SPDD history; Custom Code Migration app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Retire unused code first; move modifications to released BAdIs; new builds in ABAP Cloud (on-stack) or on BTP (side-by-side)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6"/>
                <w:szCs w:val="16"/>
              </w:rPr>
              <w:t xml:space="preserve">User experience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6"/>
                <w:szCs w:val="16"/>
              </w:rPr>
              <w:t xml:space="preserve">(UX)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“We still use GUI”, “Fiori is slow / not set up”</w:t>
            </w:r>
          </w:p>
        </w:tc>
        <w:tc>
          <w:tcPr>
            <w:tcW w:type="dxa" w:w="3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ST03N transaction usage; SAP Innovation &amp; Optimization Pathfinder; Fiori Apps Reference Library (search by transaction); FLP configuration and role catalogs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Role-based spaces/pages; wave rollout of recommended apps; Work Zone as single entry point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6"/>
                <w:szCs w:val="16"/>
              </w:rPr>
              <w:t xml:space="preserve">Integration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“We find failures when the customer calls”, point-to-point files</w:t>
            </w:r>
          </w:p>
        </w:tc>
        <w:tc>
          <w:tcPr>
            <w:tcW w:type="dxa" w:w="3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SM59 RFC destinations; WE20 partner profiles; BD87 / WE02 IDoc errors; PI/PO ICO list; Integration Suite Migration Assessment; ISA-M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Classify with ISA-M; standard APIs/events first; migrate in waves to Integration Suite; central monitoring in Cloud ALM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6"/>
                <w:szCs w:val="16"/>
              </w:rPr>
              <w:t xml:space="preserve">Data &amp; custom fields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6"/>
                <w:szCs w:val="16"/>
              </w:rPr>
              <w:t xml:space="preserve">(Data)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“The report never matches”, data kept in Z-fields or Excel</w:t>
            </w:r>
          </w:p>
        </w:tc>
        <w:tc>
          <w:tcPr>
            <w:tcW w:type="dxa" w:w="3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SE11 append structures (ZZ*/YY*); Custom Fields app; data profiling / DQ rules; duplicate BP checks; MDG or Information Steward if available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Map Z-fields to standard fields where one exists; otherwise expose via Custom Fields app (CDS/OData); DQ rules + data owners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6"/>
                <w:szCs w:val="16"/>
              </w:rPr>
              <w:t xml:space="preserve">Process workarounds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6"/>
                <w:szCs w:val="16"/>
              </w:rPr>
              <w:t xml:space="preserve">(Processes)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“We do that in a spreadsheet”, manual month-end steps</w:t>
            </w:r>
          </w:p>
        </w:tc>
        <w:tc>
          <w:tcPr>
            <w:tcW w:type="dxa" w:w="3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SAP Signavio Process Insights; process mining; interviews; count of manual journal entries / re-keyed orders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Adopt standard S/4 functionality and best practices; automate with Build Process Automation only after standard is exhausted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6"/>
                <w:szCs w:val="16"/>
              </w:rPr>
              <w:t xml:space="preserve">Platform, release &amp; ops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6"/>
                <w:szCs w:val="16"/>
              </w:rPr>
              <w:t xml:space="preserve">(Operations)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“We’re afraid to patch”, manual transports</w:t>
            </w:r>
          </w:p>
        </w:tc>
        <w:tc>
          <w:tcPr>
            <w:tcW w:type="dxa" w:w="3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Current release/FPS vs latest; SAP Readiness Check; SM37 job failures; ST22 dumps; SUIM role design; Cloud ALM health &amp; job monitoring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Annual release/FPS rhythm; Cloud ALM Change &amp; Deployment; automated monitoring and alerting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6"/>
                <w:szCs w:val="16"/>
              </w:rPr>
              <w:t xml:space="preserve">Testing &amp; knowledge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6"/>
                <w:szCs w:val="16"/>
              </w:rPr>
              <w:t xml:space="preserve">(Quality)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“Testing takes 3 weeks”, no current documentation</w:t>
            </w:r>
          </w:p>
        </w:tc>
        <w:tc>
          <w:tcPr>
            <w:tcW w:type="dxa" w:w="3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Regression test inventory; % automated; documentation age; single-person dependencies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6"/>
                <w:szCs w:val="16"/>
              </w:rPr>
              <w:t xml:space="preserve">Automate top end-to-end processes; living documentation in Cloud ALM; pair and rotate</w:t>
            </w:r>
          </w:p>
        </w:tc>
      </w:tr>
    </w:tbl>
    <w:p>
      <w:pPr>
        <w:pStyle w:val="Heading1"/>
        <w:keepNext/>
        <w:keepLines/>
        <w:spacing w:after="120" w:before="240"/>
      </w:pPr>
      <w:r>
        <w:rPr>
          <w:rFonts w:ascii="Calibri" w:cs="Calibri" w:eastAsia="Calibri" w:hAnsi="Calibri"/>
          <w:b/>
          <w:bCs/>
          <w:color w:val="17313B"/>
          <w:sz w:val="30"/>
          <w:szCs w:val="30"/>
        </w:rPr>
        <w:t xml:space="preserve">3. SAP clean core extensibility levels (use in the register)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>SAP’s current extensibility guidance classifies every extension from A (cleanest) to D (avoid). Record the level of each custom object or item; the trend of C/D items is a headline KPI. Verify against SAP’s latest extensibility guide as definitions are refined over time.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80"/>
        <w:gridCol w:w="3000"/>
        <w:gridCol w:w="2400"/>
      </w:tblGrid>
      <w:tr>
        <w:trPr>
          <w:tblHeader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7313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3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7313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it means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7313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Example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7313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A</w:t>
            </w:r>
          </w:p>
        </w:tc>
        <w:tc>
          <w:tcPr>
            <w:tcW w:type="dxa" w:w="3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ABAP Cloud / released APIs and extension points; key-user extensibility; side-by-side on BTP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Custom field added via Custom Fields app; RAP BO on released CDS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Target state for all new work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B</w:t>
            </w:r>
          </w:p>
        </w:tc>
        <w:tc>
          <w:tcPr>
            <w:tcW w:type="dxa" w:w="3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Classic ABAP using classic APIs SAP lists as stable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Report calling a classic BAPI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Acceptable; monitor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C</w:t>
            </w:r>
          </w:p>
        </w:tc>
        <w:tc>
          <w:tcPr>
            <w:tcW w:type="dxa" w:w="3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Uses SAP-internal / unreleased objects; may break on upgrade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Direct SELECT on internal tables; unreleased function modules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Remediate when touched or when interest is high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D</w:t>
            </w:r>
          </w:p>
        </w:tc>
        <w:tc>
          <w:tcPr>
            <w:tcW w:type="dxa" w:w="37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Not recommended: modifications, implicit enhancements, direct writes to SAP tables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Code in MV45AFZZ user exits, core modifications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Top priority to retire or refactor</w:t>
            </w:r>
          </w:p>
        </w:tc>
      </w:tr>
    </w:tbl>
    <w:p>
      <w:pPr>
        <w:pStyle w:val="Heading1"/>
        <w:keepNext/>
        <w:keepLines/>
        <w:spacing w:after="120" w:before="240"/>
      </w:pPr>
      <w:r>
        <w:rPr>
          <w:rFonts w:ascii="Calibri" w:cs="Calibri" w:eastAsia="Calibri" w:hAnsi="Calibri"/>
          <w:b/>
          <w:bCs/>
          <w:color w:val="17313B"/>
          <w:sz w:val="30"/>
          <w:szCs w:val="30"/>
        </w:rPr>
        <w:t xml:space="preserve">4. Minimum data set to capture (maps to the Planner register)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580"/>
        <w:gridCol w:w="3200"/>
      </w:tblGrid>
      <w:tr>
        <w:trPr>
          <w:tblHeader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7313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4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7313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to enter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7313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Title</w:t>
            </w:r>
          </w:p>
        </w:tc>
        <w:tc>
          <w:tcPr>
            <w:tcW w:type="dxa" w:w="4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Verb + object, max ~12 words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Expose sales region Z-field via Custom Fields app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Item type</w:t>
            </w:r>
          </w:p>
        </w:tc>
        <w:tc>
          <w:tcPr>
            <w:tcW w:type="dxa" w:w="4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Feature / Defect / Tech Debt / Enabler / Risk-Compliance (Section 1)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Tech Debt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Clean core dimension</w:t>
            </w:r>
          </w:p>
        </w:tc>
        <w:tc>
          <w:tcPr>
            <w:tcW w:type="dxa" w:w="4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Process / Extensibility / Data / Integration / Operations / UX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Data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Area / module</w:t>
            </w:r>
          </w:p>
        </w:tc>
        <w:tc>
          <w:tcPr>
            <w:tcW w:type="dxa" w:w="4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FI, CO, SD, MM, PP, QM, PM, EWM, Basis, BTP, Integration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SD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Description / symptom</w:t>
            </w:r>
          </w:p>
        </w:tc>
        <w:tc>
          <w:tcPr>
            <w:tcW w:type="dxa" w:w="4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What happens, who is affected, how often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Credit reports disagree with sales dashboard every week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Evidence</w:t>
            </w:r>
          </w:p>
        </w:tc>
        <w:tc>
          <w:tcPr>
            <w:tcW w:type="dxa" w:w="4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Transaction, ATC finding, object name, screenshot, usage count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SE11: KNVV append ZZREGION; 4,200 records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Root cause (Fowler quadrant)</w:t>
            </w:r>
          </w:p>
        </w:tc>
        <w:tc>
          <w:tcPr>
            <w:tcW w:type="dxa" w:w="4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Deliberate or inadvertent; prudent or reckless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Deliberate-Prudent (go-live shortcut)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Clean core level</w:t>
            </w:r>
          </w:p>
        </w:tc>
        <w:tc>
          <w:tcPr>
            <w:tcW w:type="dxa" w:w="4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A / B / C / D / n/a (Section 3)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Blocks innovation?</w:t>
            </w:r>
          </w:p>
        </w:tc>
        <w:tc>
          <w:tcPr>
            <w:tcW w:type="dxa" w:w="4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Y if it prevents Fiori, Work Zone, APIs, analytics or AI use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Y - standard app cannot show region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Interest</w:t>
            </w:r>
          </w:p>
        </w:tc>
        <w:tc>
          <w:tcPr>
            <w:tcW w:type="dxa" w:w="4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Hours per month lost to workarounds, incidents, extra testing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12 hrs/month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Principal</w:t>
            </w:r>
          </w:p>
        </w:tc>
        <w:tc>
          <w:tcPr>
            <w:tcW w:type="dxa" w:w="4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Person-days to remove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WSJF inputs</w:t>
            </w:r>
          </w:p>
        </w:tc>
        <w:tc>
          <w:tcPr>
            <w:tcW w:type="dxa" w:w="4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Business Value, Time Criticality, Risk Reduction/Opportunity Enablement, Job Size (Section 5)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5 / 3 / 8 / 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Owners</w:t>
            </w:r>
          </w:p>
        </w:tc>
        <w:tc>
          <w:tcPr>
            <w:tcW w:type="dxa" w:w="4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Business owner + IT owner (named people)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Sales ops lead / Data lead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Target quarter / status</w:t>
            </w:r>
          </w:p>
        </w:tc>
        <w:tc>
          <w:tcPr>
            <w:tcW w:type="dxa" w:w="4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Set by triage, not by the requester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Q1-2027 / Triaged</w:t>
            </w:r>
          </w:p>
        </w:tc>
      </w:tr>
    </w:tbl>
    <w:p>
      <w:pPr>
        <w:pStyle w:val="Heading1"/>
        <w:keepNext/>
        <w:keepLines/>
        <w:spacing w:after="120" w:before="240"/>
      </w:pPr>
      <w:r>
        <w:rPr>
          <w:rFonts w:ascii="Calibri" w:cs="Calibri" w:eastAsia="Calibri" w:hAnsi="Calibri"/>
          <w:b/>
          <w:bCs/>
          <w:color w:val="17313B"/>
          <w:sz w:val="30"/>
          <w:szCs w:val="30"/>
        </w:rPr>
        <w:t xml:space="preserve">5. Scoring cheat sheet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WSJF (Weighted Shortest Job First, SAFe)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EF3C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313B"/>
                <w:sz w:val="21"/>
                <w:szCs w:val="21"/>
              </w:rPr>
              <w:t xml:space="preserve">WSJF = (Business Value + Time Criticality + Risk Reduction / Opportunity Enablement) ÷ Job Size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Score each factor relatively on 1 – 2 – 3 – 5 – 8 – 13 – 20. Put the smallest item in the batch at 1 and score the rest against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Score one column at a time across all items (not one item at a time). This keeps scores consistent.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 debt rarely wins on Business Value; it wins on Risk Reduction / Opportunity Enablement. Score that honestly.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2300"/>
        <w:gridCol w:w="2580"/>
        <w:gridCol w:w="2000"/>
      </w:tblGrid>
      <w:tr>
        <w:trPr>
          <w:tblHeader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7313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7313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Business Value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7313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Time Criticality</w:t>
            </w:r>
          </w:p>
        </w:tc>
        <w:tc>
          <w:tcPr>
            <w:tcW w:type="dxa" w:w="2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7313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Risk Reduction / Opp. Enablement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7313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Job Size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Nice to have, few users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No deadline; value does not decay</w:t>
            </w:r>
          </w:p>
        </w:tc>
        <w:tc>
          <w:tcPr>
            <w:tcW w:type="dxa" w:w="2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No risk change; unlocks nothing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Hours to a couple of days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3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Saves one team noticeable effort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Helpful before next quarter-end</w:t>
            </w:r>
          </w:p>
        </w:tc>
        <w:tc>
          <w:tcPr>
            <w:tcW w:type="dxa" w:w="2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Reduces a minor risk or unblocks one item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About a sprint for one person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8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Measurable KPI gain for a function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Tied to month-end, audit or a contract date</w:t>
            </w:r>
          </w:p>
        </w:tc>
        <w:tc>
          <w:tcPr>
            <w:tcW w:type="dxa" w:w="2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Removes upgrade/security risk or unblocks an epic (e.g. Fiori wave)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Multi-sprint, one team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20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Strategic, enterprise-wide value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Hard deadline; missing it has penalties</w:t>
            </w:r>
          </w:p>
        </w:tc>
        <w:tc>
          <w:tcPr>
            <w:tcW w:type="dxa" w:w="2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Prerequisite for a strategic program (Work Zone, AI, integration migration)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Multi-team / multi-quarter: split it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Interest vs principal (tech debt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Annual interest cost</w:t>
      </w:r>
      <w:r>
        <w:rPr>
          <w:rFonts w:ascii="Calibri" w:cs="Calibri" w:eastAsia="Calibri" w:hAnsi="Calibri"/>
          <w:sz w:val="20"/>
          <w:szCs w:val="20"/>
        </w:rPr>
        <w:t xml:space="preserve"> = interest hrs/month × 12 × day rate ÷ 8.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Payback</w:t>
      </w:r>
      <w:r>
        <w:rPr>
          <w:rFonts w:ascii="Calibri" w:cs="Calibri" w:eastAsia="Calibri" w:hAnsi="Calibri"/>
          <w:sz w:val="20"/>
          <w:szCs w:val="20"/>
        </w:rPr>
        <w:t xml:space="preserve"> = principal cost ÷ monthly interest cost.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High interest + low principal</w:t>
      </w:r>
      <w:r>
        <w:rPr>
          <w:rFonts w:ascii="Calibri" w:cs="Calibri" w:eastAsia="Calibri" w:hAnsi="Calibri"/>
          <w:sz w:val="20"/>
          <w:szCs w:val="20"/>
        </w:rPr>
        <w:t xml:space="preserve"> → pay down now.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High + high</w:t>
      </w:r>
      <w:r>
        <w:rPr>
          <w:rFonts w:ascii="Calibri" w:cs="Calibri" w:eastAsia="Calibri" w:hAnsi="Calibri"/>
          <w:sz w:val="20"/>
          <w:szCs w:val="20"/>
        </w:rPr>
        <w:t xml:space="preserve"> → plan an epic.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Low + low</w:t>
      </w:r>
      <w:r>
        <w:rPr>
          <w:rFonts w:ascii="Calibri" w:cs="Calibri" w:eastAsia="Calibri" w:hAnsi="Calibri"/>
          <w:sz w:val="20"/>
          <w:szCs w:val="20"/>
        </w:rPr>
        <w:t xml:space="preserve"> → fix when you touch it (Boy Scout rule).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Low + high</w:t>
      </w:r>
      <w:r>
        <w:rPr>
          <w:rFonts w:ascii="Calibri" w:cs="Calibri" w:eastAsia="Calibri" w:hAnsi="Calibri"/>
          <w:sz w:val="20"/>
          <w:szCs w:val="20"/>
        </w:rPr>
        <w:t xml:space="preserve"> → accept and document.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Defect severity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00"/>
        <w:gridCol w:w="2900"/>
        <w:gridCol w:w="2380"/>
      </w:tblGrid>
      <w:tr>
        <w:trPr>
          <w:tblHeader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7313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7313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7313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23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7313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Target response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P1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Production down or critical process stopped; no workaround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Expedite lane, swarm, outside sprint</w:t>
            </w:r>
          </w:p>
        </w:tc>
        <w:tc>
          <w:tcPr>
            <w:tcW w:type="dxa" w:w="23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Immediate; fix within 1 day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P2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Major process degraded; costly workaround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Expedite lane</w:t>
            </w:r>
          </w:p>
        </w:tc>
        <w:tc>
          <w:tcPr>
            <w:tcW w:type="dxa" w:w="23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Fix within current sprint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P3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Moderate impact; workaround acceptable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Backlog, WSJF ranked</w:t>
            </w:r>
          </w:p>
        </w:tc>
        <w:tc>
          <w:tcPr>
            <w:tcW w:type="dxa" w:w="23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Scheduled by ranking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2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P4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Cosmetic / minor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Backlog; batch with related work</w:t>
            </w:r>
          </w:p>
        </w:tc>
        <w:tc>
          <w:tcPr>
            <w:tcW w:type="dxa" w:w="23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Opportunistic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Response targets are proposals; align them with your AMS contract and ITSM SLAs.</w:t>
      </w:r>
    </w:p>
    <w:p>
      <w:pPr>
        <w:pStyle w:val="Heading1"/>
        <w:keepNext/>
        <w:keepLines/>
        <w:pageBreakBefore/>
        <w:spacing w:after="120" w:before="240"/>
      </w:pPr>
      <w:r>
        <w:rPr>
          <w:rFonts w:ascii="Calibri" w:cs="Calibri" w:eastAsia="Calibri" w:hAnsi="Calibri"/>
          <w:b/>
          <w:bCs/>
          <w:color w:val="17313B"/>
          <w:sz w:val="30"/>
          <w:szCs w:val="30"/>
        </w:rPr>
        <w:t xml:space="preserve">6. Custom-field deep dive (AmphenolCIT priority)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>Because business data sits in custom fields, run this checklist per Z-field. Record the answers in the register’s Notes / evidence column or a linked sheet.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80"/>
        <w:gridCol w:w="4000"/>
      </w:tblGrid>
      <w:tr>
        <w:trPr>
          <w:tblHeader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7313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7313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7313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Why it matters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5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Which table / structure and field? (e.g. MARA append, KNVV append, VBAK)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Scope and technical owner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5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What business meaning does it hold, and who owns that meaning?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Data ownership; stops duplicate definitions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3</w:t>
            </w:r>
          </w:p>
        </w:tc>
        <w:tc>
          <w:tcPr>
            <w:tcW w:type="dxa" w:w="5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How many records are populated, and how complete / valid are they?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Data quality baseline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4</w:t>
            </w:r>
          </w:p>
        </w:tc>
        <w:tc>
          <w:tcPr>
            <w:tcW w:type="dxa" w:w="5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Does S/4HANA now have a standard field or object for the same meaning?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If yes: migrate to standard and retire the Z-field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5</w:t>
            </w:r>
          </w:p>
        </w:tc>
        <w:tc>
          <w:tcPr>
            <w:tcW w:type="dxa" w:w="5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Where is it used: reports, forms, interfaces, pricing, workflow, BW/analytics?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Blast radius of any change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6</w:t>
            </w:r>
          </w:p>
        </w:tc>
        <w:tc>
          <w:tcPr>
            <w:tcW w:type="dxa" w:w="5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Is it visible in CDS views, OData services and Fiori apps today?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If not: standard apps, APIs and Work Zone cannot use it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7</w:t>
            </w:r>
          </w:p>
        </w:tc>
        <w:tc>
          <w:tcPr>
            <w:tcW w:type="dxa" w:w="5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Was it created via SE11 append or the Custom Fields app?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Custom Fields app = Level A, automatically exposed to UIs/APIs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8</w:t>
            </w:r>
          </w:p>
        </w:tc>
        <w:tc>
          <w:tcPr>
            <w:tcW w:type="dxa" w:w="5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Decision: Map to standard / Re-create via Custom Fields app / Keep &amp; wrap in CDS / Retire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Drives the register item and effort</w:t>
            </w:r>
          </w:p>
        </w:tc>
      </w:tr>
    </w:tbl>
    <w:p>
      <w:pPr>
        <w:pStyle w:val="Heading1"/>
        <w:keepNext/>
        <w:keepLines/>
        <w:spacing w:after="120" w:before="240"/>
      </w:pPr>
      <w:r>
        <w:rPr>
          <w:rFonts w:ascii="Calibri" w:cs="Calibri" w:eastAsia="Calibri" w:hAnsi="Calibri"/>
          <w:b/>
          <w:bCs/>
          <w:color w:val="17313B"/>
          <w:sz w:val="30"/>
          <w:szCs w:val="30"/>
        </w:rPr>
        <w:t xml:space="preserve">7. Interview question bank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>Use 3–5 questions per session. Always end with: “What would you stop doing tomorrow if IT fixed one thing?”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Business users &amp; key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Which tasks do you still do in SAP GUI, Excel or email that you expected S/4HANA to do for you?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Where do you re-key or cross-check data between systems or reports?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Which reports do you not trust, and which number do you use instead?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Have you seen Fiori apps or Work Zone? What would you want on your home page?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Business process owners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Which S/4HANA capabilities were descoped at go-live and are still missing?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What are the top three process KPIs you cannot measure today?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Which month-end, quarter-end or audit steps are manual and risky?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Functional consultants / 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Which tickets come back every month? What is the underlying cause?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Which configuration or custom objects were go-live shortcuts meant to be temporary?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Which Z-fields hold data that has a standard home in S/4HANA?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ABAP developers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Which objects are modifications or implicit enhancements? Which are touched on every change?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What does ATC report with clean-core checks? How many findings are Level C or 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Which custom code has no usage in SCMON/SUSG data over 12 months?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Basis, BTP &amp;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What release and Feature Pack are we on, and when was the last SP/FPS applied?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Is the Fiori front-end server embedded or hub? Are Fiori roles and catalogs designed per job role?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Do we have a BTP global account, entitlements (e.g. BTPEA/CPEA credits), Cloud Identity Services and Cloud Connector in place?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Is SAP Cloud ALM activated? Which apps are in use (requirements, test, monitoring, change &amp; deployment)?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Integration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How many interfaces, by technology (IDoc, RFC, file, SOAP, REST, PI/PO)? Which fail most?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Who is told when an interface fails, and how long until they know?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Which interfaces could use a standard SAP API or event instead of a custom one?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Data owners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Which master data domains cause the most errors (business partner, material, pricing)?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Who approves master data changes today? Is there a governance workflow?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Do we measure data quality? What is the current score for your domain?</w:t>
      </w:r>
    </w:p>
    <w:p>
      <w:pPr>
        <w:pStyle w:val="Heading1"/>
        <w:keepNext/>
        <w:keepLines/>
        <w:spacing w:after="120" w:before="240"/>
      </w:pPr>
      <w:r>
        <w:rPr>
          <w:rFonts w:ascii="Calibri" w:cs="Calibri" w:eastAsia="Calibri" w:hAnsi="Calibri"/>
          <w:b/>
          <w:bCs/>
          <w:color w:val="17313B"/>
          <w:sz w:val="30"/>
          <w:szCs w:val="30"/>
        </w:rPr>
        <w:t xml:space="preserve">8. From collection to backlog in five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Capture</w:t>
      </w:r>
      <w:r>
        <w:rPr>
          <w:rFonts w:ascii="Calibri" w:cs="Calibri" w:eastAsia="Calibri" w:hAnsi="Calibri"/>
          <w:sz w:val="20"/>
          <w:szCs w:val="20"/>
        </w:rPr>
        <w:t xml:space="preserve"> in the register using the minimum data set (Section 4) — within 48 hours of the workshop.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Deduplicate and classify</w:t>
      </w:r>
      <w:r>
        <w:rPr>
          <w:rFonts w:ascii="Calibri" w:cs="Calibri" w:eastAsia="Calibri" w:hAnsi="Calibri"/>
          <w:sz w:val="20"/>
          <w:szCs w:val="20"/>
        </w:rPr>
        <w:t xml:space="preserve"> at the weekly triage: item type, dimension, severity, clean core level.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Size and score</w:t>
      </w:r>
      <w:r>
        <w:rPr>
          <w:rFonts w:ascii="Calibri" w:cs="Calibri" w:eastAsia="Calibri" w:hAnsi="Calibri"/>
          <w:sz w:val="20"/>
          <w:szCs w:val="20"/>
        </w:rPr>
        <w:t xml:space="preserve"> at refinement: WSJF inputs, interest and principal, business and IT owner confirmed.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Rank and allocate</w:t>
      </w:r>
      <w:r>
        <w:rPr>
          <w:rFonts w:ascii="Calibri" w:cs="Calibri" w:eastAsia="Calibri" w:hAnsi="Calibri"/>
          <w:sz w:val="20"/>
          <w:szCs w:val="20"/>
        </w:rPr>
        <w:t xml:space="preserve"> at the monthly portfolio review against capacity guardrails for each work type.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Show it</w:t>
      </w:r>
      <w:r>
        <w:rPr>
          <w:rFonts w:ascii="Calibri" w:cs="Calibri" w:eastAsia="Calibri" w:hAnsi="Calibri"/>
          <w:sz w:val="20"/>
          <w:szCs w:val="20"/>
        </w:rPr>
        <w:t xml:space="preserve">: board, KPI dashboard and sprint demo. Re-score quarterly; close anything stale older than 90 days.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Do’s and don’ts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7313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7313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Don’t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Log workarounds as tech debt with their monthly cost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Keep a separate “tech debt list” nobody prioritises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Link each item to the clean core dimension and level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Score everything 20; relative scoring only works if you use the full scale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Retire unused code before remediating it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Remediate code nobody runs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Bundle debt with the feature that touches the same object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Start large refactors without a business owner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Use SAP standard and released APIs first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Build new Z-tables or modifications without design authority approval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Sources and further reading: SAP clean core guidance and extensibility guide (SAP Community / SAP Help); SAP Activate methodology; SAP Cloud ALM documentation; SAP Integration Solution Advisory Methodology (ISA-M); SAFe WSJF and capacity allocation; Flow Framework (M. Kersten); Technical Debt Quadrant (M. Fowler).</w:t>
      </w:r>
    </w:p>
    <w:sectPr>
      <w:headerReference w:type="default" r:id="rId7"/>
      <w:footerReference w:type="default" r:id="rId8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CA3AF"/>
        <w:sz w:val="16"/>
        <w:szCs w:val="16"/>
      </w:rPr>
      <w:t xml:space="preserve">Draft for discussion  |  Page </w:t>
    </w:r>
    <w:r>
      <w:rPr>
        <w:rFonts w:ascii="Calibri" w:cs="Calibri" w:eastAsia="Calibri" w:hAnsi="Calibri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CA3AF"/>
        <w:sz w:val="16"/>
        <w:szCs w:val="16"/>
      </w:rPr>
      <w:t xml:space="preserve">Tech Debt Collection – Quick Reference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 Debt Collection - Quick Reference Guide</dc:title>
  <dc:creator>Enterprise Architecture</dc:creator>
  <cp:lastModifiedBy>Un-named</cp:lastModifiedBy>
  <cp:revision>1</cp:revision>
  <dcterms:created xsi:type="dcterms:W3CDTF">2026-09-27T02:14:01.475Z</dcterms:created>
  <dcterms:modified xsi:type="dcterms:W3CDTF">2026-09-27T02:14:01.475Z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