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b/>
          <w:color w:val="1E3A5F"/>
          <w:sz w:val="72"/>
        </w:rPr>
        <w:t>BEC-FORGE</w:t>
      </w:r>
    </w:p>
    <w:p>
      <w:pPr>
        <w:spacing w:before="120" w:after="800"/>
        <w:jc w:val="center"/>
      </w:pPr>
      <w:r>
        <w:rPr>
          <w:b/>
          <w:color w:val="2C5F8A"/>
          <w:sz w:val="30"/>
        </w:rPr>
        <w:t>Business Email Compromise Forensic Investigation &amp; Risk Assessment Engine</w:t>
      </w:r>
    </w:p>
    <w:p>
      <w:pPr>
        <w:spacing w:before="80" w:after="80"/>
        <w:pBdr>
          <w:bottom w:val="single" w:sz="6" w:space="1" w:color="1E3A5F"/>
        </w:pBdr>
      </w:pPr>
    </w:p>
    <w:p>
      <w:pPr>
        <w:spacing w:before="600"/>
        <w:jc w:val="center"/>
      </w:pPr>
      <w:r>
        <w:rPr>
          <w:b/>
          <w:color w:val="0F172A"/>
          <w:sz w:val="40"/>
        </w:rPr>
        <w:t>Project Report</w:t>
      </w:r>
    </w:p>
    <w:p>
      <w:pPr>
        <w:spacing w:before="80"/>
        <w:jc w:val="center"/>
      </w:pPr>
      <w:r>
        <w:rPr>
          <w:color w:val="475569"/>
          <w:sz w:val="24"/>
        </w:rPr>
      </w:r>
    </w:p>
    <w:p>
      <w:pPr>
        <w:spacing w:before="80"/>
        <w:jc w:val="center"/>
      </w:pPr>
      <w:r>
        <w:rPr>
          <w:color w:val="475569"/>
          <w:sz w:val="24"/>
        </w:rPr>
        <w:t>Capstone Project | Cyber Forensics</w:t>
      </w:r>
    </w:p>
    <w:p>
      <w:pPr>
        <w:spacing w:before="80"/>
        <w:jc w:val="center"/>
      </w:pPr>
      <w:r>
        <w:rPr>
          <w:color w:val="475569"/>
          <w:sz w:val="24"/>
        </w:rPr>
      </w:r>
    </w:p>
    <w:p>
      <w:pPr>
        <w:spacing w:before="80"/>
        <w:jc w:val="center"/>
      </w:pPr>
      <w:r>
        <w:rPr>
          <w:color w:val="475569"/>
          <w:sz w:val="24"/>
        </w:rPr>
        <w:t>October 2026</w:t>
      </w:r>
    </w:p>
    <w:p>
      <w:r>
        <w:br w:type="page"/>
      </w:r>
    </w:p>
    <w:p>
      <w:pPr>
        <w:spacing w:before="400" w:after="120"/>
      </w:pPr>
      <w:r>
        <w:rPr>
          <w:b/>
          <w:color w:val="1E3A5F"/>
          <w:sz w:val="30"/>
        </w:rPr>
        <w:t>Abstract</w:t>
      </w:r>
    </w:p>
    <w:p>
      <w:pPr>
        <w:spacing w:before="40" w:after="80" w:line="360" w:lineRule="auto"/>
      </w:pPr>
      <w:r>
        <w:rPr>
          <w:color w:val="0F172A"/>
          <w:sz w:val="22"/>
        </w:rPr>
        <w:t>Business Email Compromise (BEC) is among the most financially destructive cyber threats globally, responsible for billions in annual losses. Unlike traditional phishing or malware campaigns, BEC attacks exploit human trust, identity impersonation, and social engineering — bypassing most signature-based security tools. BEC-FORGE is an industry-ready digital forensic investigation platform built exclusively for Cyber Forensics Units and Digital Forensics &amp; Incident Response (DFIR) examiners. It provides deterministic, explainable, multi-vector forensic analysis of email evidence without relying on any external cloud APIs, machine-learning black boxes, or online telemetry. The platform is architected around five core forensic innovations: Sender Identity Fingerprinting &amp; Behavioural Drift Detection, Interactive Communication Graph Topology Analysis, Multi-Layer Cryptographic Identity Consistency Engine, BEC Attack Kill-Chain Reconstruction, and an Explainable Risk Engine with Counterfactual Simulation. All analysis is performed in strict compliance with ISO/IEC 27037 digital evidence handling standards. The platform has been validated against real-world public forensic email corpora, with 79 unit and integration tests passing across all forensic engine modules.</w:t>
      </w:r>
    </w:p>
    <w:p>
      <w:pPr>
        <w:spacing w:before="40" w:after="80" w:line="360" w:lineRule="auto"/>
      </w:pPr>
      <w:r>
        <w:rPr>
          <w:color w:val="0F172A"/>
          <w:sz w:val="22"/>
        </w:rPr>
        <w:t>Keywords: Business Email Compromise; email forensics; DFIR; sender fingerprinting; identity drift; kill-chain reconstruction; explainable AI; ISO 27037; SPF/DKIM/DMARC; communication graph analysis.</w:t>
      </w:r>
    </w:p>
    <w:p>
      <w:r>
        <w:br w:type="page"/>
      </w:r>
    </w:p>
    <w:p>
      <w:pPr>
        <w:spacing w:before="400" w:after="120"/>
      </w:pPr>
      <w:r>
        <w:rPr>
          <w:b/>
          <w:color w:val="1E3A5F"/>
          <w:sz w:val="30"/>
        </w:rPr>
        <w:t>Contents</w:t>
      </w:r>
    </w:p>
    <w:p>
      <w:pPr>
        <w:spacing w:before="60" w:after="60"/>
      </w:pPr>
      <w:r>
        <w:rPr>
          <w:color w:val="0F172A"/>
          <w:sz w:val="22"/>
        </w:rPr>
        <w:t>1.  Requirement</w:t>
      </w:r>
    </w:p>
    <w:p>
      <w:pPr>
        <w:spacing w:before="60" w:after="60"/>
      </w:pPr>
      <w:r>
        <w:rPr>
          <w:color w:val="0F172A"/>
          <w:sz w:val="22"/>
        </w:rPr>
        <w:t>2.  Solution Description</w:t>
      </w:r>
    </w:p>
    <w:p>
      <w:pPr>
        <w:spacing w:before="60" w:after="60"/>
      </w:pPr>
      <w:r>
        <w:rPr>
          <w:color w:val="0F172A"/>
          <w:sz w:val="22"/>
        </w:rPr>
        <w:t>3.  Solution Requirement</w:t>
      </w:r>
    </w:p>
    <w:p>
      <w:pPr>
        <w:spacing w:before="60" w:after="60"/>
      </w:pPr>
      <w:r>
        <w:rPr>
          <w:color w:val="0F172A"/>
          <w:sz w:val="22"/>
        </w:rPr>
        <w:t>4.  Solution Proposed</w:t>
      </w:r>
    </w:p>
    <w:p>
      <w:pPr>
        <w:spacing w:before="60" w:after="60"/>
      </w:pPr>
      <w:r>
        <w:rPr>
          <w:color w:val="0F172A"/>
          <w:sz w:val="22"/>
        </w:rPr>
        <w:t>5.  Algorithm</w:t>
      </w:r>
    </w:p>
    <w:p>
      <w:pPr>
        <w:spacing w:before="60" w:after="60"/>
      </w:pPr>
      <w:r>
        <w:rPr>
          <w:color w:val="0F172A"/>
          <w:sz w:val="22"/>
        </w:rPr>
        <w:t>6.  Outcome</w:t>
      </w:r>
    </w:p>
    <w:p>
      <w:pPr>
        <w:spacing w:before="60" w:after="60"/>
      </w:pPr>
      <w:r>
        <w:rPr>
          <w:color w:val="0F172A"/>
          <w:sz w:val="22"/>
        </w:rPr>
        <w:t>7.  Conclusion</w:t>
      </w:r>
    </w:p>
    <w:p>
      <w:pPr>
        <w:spacing w:before="60" w:after="60"/>
      </w:pPr>
      <w:r>
        <w:rPr>
          <w:color w:val="0F172A"/>
          <w:sz w:val="22"/>
        </w:rPr>
        <w:t>8.  Inference</w:t>
      </w:r>
    </w:p>
    <w:p>
      <w:pPr>
        <w:spacing w:before="60" w:after="60"/>
      </w:pPr>
      <w:r>
        <w:rPr>
          <w:color w:val="0F172A"/>
          <w:sz w:val="22"/>
        </w:rPr>
        <w:t>9.  References</w:t>
      </w:r>
    </w:p>
    <w:p>
      <w:pPr>
        <w:spacing w:before="60" w:after="60"/>
      </w:pPr>
      <w:r>
        <w:rPr>
          <w:color w:val="0F172A"/>
          <w:sz w:val="22"/>
        </w:rPr>
        <w:t>Appendix A  —  Scoring Parameters &amp; Weights</w:t>
      </w:r>
    </w:p>
    <w:p>
      <w:pPr>
        <w:spacing w:before="60" w:after="60"/>
      </w:pPr>
      <w:r>
        <w:rPr>
          <w:color w:val="0F172A"/>
          <w:sz w:val="22"/>
        </w:rPr>
        <w:t>Appendix B  —  REST API Endpoint Reference</w:t>
      </w:r>
    </w:p>
    <w:p>
      <w:pPr>
        <w:spacing w:before="60" w:after="60"/>
      </w:pPr>
      <w:r>
        <w:rPr>
          <w:color w:val="0F172A"/>
          <w:sz w:val="22"/>
        </w:rPr>
        <w:t>Appendix C  —  Database Schema Summary</w:t>
      </w:r>
    </w:p>
    <w:p>
      <w:r>
        <w:br w:type="page"/>
      </w:r>
    </w:p>
    <w:p>
      <w:pPr>
        <w:spacing w:before="400" w:after="120"/>
      </w:pPr>
      <w:r>
        <w:rPr>
          <w:b/>
          <w:color w:val="1E3A5F"/>
          <w:sz w:val="32"/>
        </w:rPr>
        <w:t>1. Requirement</w:t>
      </w:r>
    </w:p>
    <w:p>
      <w:pPr>
        <w:spacing w:before="200" w:after="80"/>
      </w:pPr>
      <w:r>
        <w:rPr>
          <w:b/>
          <w:color w:val="2C5F8A"/>
          <w:sz w:val="24"/>
        </w:rPr>
        <w:t>1.1 Background and Motivation</w:t>
      </w:r>
    </w:p>
    <w:p>
      <w:pPr>
        <w:spacing w:before="40" w:after="80" w:line="360" w:lineRule="auto"/>
      </w:pPr>
      <w:r>
        <w:rPr>
          <w:color w:val="0F172A"/>
          <w:sz w:val="22"/>
        </w:rPr>
        <w:t>Business Email Compromise (BEC) attacks represent the most financially damaging class of cybercrime tracked by the FBI Internet Crime Complaint Center (IC3). Unlike credential phishing or ransomware, BEC rarely involves malicious file attachments or executable payloads. Instead, attackers exploit trust relationships between business partners, spoof executive identities, hijack ongoing vendor invoice threads, and use social engineering under the guise of urgency and authority to redirect financial transactions.</w:t>
      </w:r>
    </w:p>
    <w:p>
      <w:pPr>
        <w:spacing w:before="40" w:after="80" w:line="360" w:lineRule="auto"/>
      </w:pPr>
      <w:r>
        <w:rPr>
          <w:color w:val="0F172A"/>
          <w:sz w:val="22"/>
        </w:rPr>
        <w:t>Existing security tools — including most enterprise email gateways and anti-spam classifiers — fail against BEC attacks because they are fundamentally designed to detect malicious payloads and known-bad signatures. When an attacker compromises a real corporate email account or registers a credible lookalike domain and sends emails manually, no malicious signature exists to detect.</w:t>
      </w:r>
    </w:p>
    <w:p>
      <w:pPr>
        <w:spacing w:before="40" w:after="80" w:line="360" w:lineRule="auto"/>
      </w:pPr>
      <w:r>
        <w:rPr>
          <w:color w:val="0F172A"/>
          <w:sz w:val="22"/>
        </w:rPr>
        <w:t>Forensic investigators examining suspected BEC incidents need a systematic, evidence-grade tool that can analyse raw email headers, cryptographic authentication records, domain similarity patterns, sender behavioural history, and multi-email kill-chain progression. No publicly available open-source tool was found that addresses all of these forensic dimensions simultaneously, preserves digital evidence in ISO/IEC 27037-compliant custody, and produces court-admissible forensic documentation.</w:t>
      </w:r>
    </w:p>
    <w:p>
      <w:pPr>
        <w:spacing w:before="200" w:after="80"/>
      </w:pPr>
      <w:r>
        <w:rPr>
          <w:b/>
          <w:color w:val="2C5F8A"/>
          <w:sz w:val="24"/>
        </w:rPr>
        <w:t>1.2 Problem Statement</w:t>
      </w:r>
    </w:p>
    <w:p>
      <w:pPr>
        <w:spacing w:before="40" w:after="80" w:line="360" w:lineRule="auto"/>
      </w:pPr>
      <w:r>
        <w:rPr>
          <w:color w:val="0F172A"/>
          <w:sz w:val="22"/>
        </w:rPr>
        <w:t>Given one or more seized raw email messages (.eml, .mbox, .zip), determine whether they constitute part of a Business Email Compromise attack — without relying on cloud-based threat intelligence, black-box machine learning, or external API calls — and produce a transparent, explainable, court-admissible forensic report with full chain-of-custody documentation.</w:t>
      </w:r>
    </w:p>
    <w:p>
      <w:pPr>
        <w:spacing w:before="200" w:after="80"/>
      </w:pPr>
      <w:r>
        <w:rPr>
          <w:b/>
          <w:color w:val="2C5F8A"/>
          <w:sz w:val="24"/>
        </w:rPr>
        <w:t>1.3 Objectives</w:t>
      </w:r>
    </w:p>
    <w:p>
      <w:pPr>
        <w:pStyle w:val="ListBullet"/>
        <w:spacing w:before="20" w:after="60"/>
      </w:pPr>
      <w:r>
        <w:rPr>
          <w:color w:val="0F172A"/>
          <w:sz w:val="22"/>
        </w:rPr>
        <w:t>1. Acquire and cryptographically seal raw email evidence in a forensic vault with ISO/IEC 27037 chain-of-custody records.</w:t>
      </w:r>
    </w:p>
    <w:p>
      <w:pPr>
        <w:pStyle w:val="ListBullet"/>
        <w:spacing w:before="20" w:after="60"/>
      </w:pPr>
      <w:r>
        <w:rPr>
          <w:color w:val="0F172A"/>
          <w:sz w:val="22"/>
        </w:rPr>
        <w:t>2. Parse RFC-822 and MIME email structures, extract all headers, bodies, attachments, and embedded URLs.</w:t>
      </w:r>
    </w:p>
    <w:p>
      <w:pPr>
        <w:pStyle w:val="ListBullet"/>
        <w:spacing w:before="20" w:after="60"/>
      </w:pPr>
      <w:r>
        <w:rPr>
          <w:color w:val="0F172A"/>
          <w:sz w:val="22"/>
        </w:rPr>
        <w:t>3. Verify SPF, DKIM, DMARC, and Authenticated Received Chain (ARC) cryptographic authentication records.</w:t>
      </w:r>
    </w:p>
    <w:p>
      <w:pPr>
        <w:pStyle w:val="ListBullet"/>
        <w:spacing w:before="20" w:after="60"/>
      </w:pPr>
      <w:r>
        <w:rPr>
          <w:color w:val="0F172A"/>
          <w:sz w:val="22"/>
        </w:rPr>
        <w:t>4. Detect domain lookalikes, typosquatting, and homoglyph substitution in sender domains.</w:t>
      </w:r>
    </w:p>
    <w:p>
      <w:pPr>
        <w:pStyle w:val="ListBullet"/>
        <w:spacing w:before="20" w:after="60"/>
      </w:pPr>
      <w:r>
        <w:rPr>
          <w:color w:val="0F172A"/>
          <w:sz w:val="22"/>
        </w:rPr>
        <w:t>5. Reconstruct the hop-by-hop mail routing chronology from MTA Received headers.</w:t>
      </w:r>
    </w:p>
    <w:p>
      <w:pPr>
        <w:pStyle w:val="ListBullet"/>
        <w:spacing w:before="20" w:after="60"/>
      </w:pPr>
      <w:r>
        <w:rPr>
          <w:color w:val="0F172A"/>
          <w:sz w:val="22"/>
        </w:rPr>
        <w:t>6. Build and maintain sender behavioural fingerprint profiles to detect identity drift across multiple emails.</w:t>
      </w:r>
    </w:p>
    <w:p>
      <w:pPr>
        <w:pStyle w:val="ListBullet"/>
        <w:spacing w:before="20" w:after="60"/>
      </w:pPr>
      <w:r>
        <w:rPr>
          <w:color w:val="0F172A"/>
          <w:sz w:val="22"/>
        </w:rPr>
        <w:t>7. Construct a directed communication graph to identify first-time and anomalous sender–recipient relationships.</w:t>
      </w:r>
    </w:p>
    <w:p>
      <w:pPr>
        <w:pStyle w:val="ListBullet"/>
        <w:spacing w:before="20" w:after="60"/>
      </w:pPr>
      <w:r>
        <w:rPr>
          <w:color w:val="0F172A"/>
          <w:sz w:val="22"/>
        </w:rPr>
        <w:t>8. Reconstruct the multi-stage BEC attack kill-chain from a sequence of related emails.</w:t>
      </w:r>
    </w:p>
    <w:p>
      <w:pPr>
        <w:pStyle w:val="ListBullet"/>
        <w:spacing w:before="20" w:after="60"/>
      </w:pPr>
      <w:r>
        <w:rPr>
          <w:color w:val="0F172A"/>
          <w:sz w:val="22"/>
        </w:rPr>
        <w:t>9. Generate explainable, weighted BEC risk scores with counterfactual simulation.</w:t>
      </w:r>
    </w:p>
    <w:p>
      <w:pPr>
        <w:pStyle w:val="ListBullet"/>
        <w:spacing w:before="20" w:after="60"/>
      </w:pPr>
      <w:r>
        <w:rPr>
          <w:color w:val="0F172A"/>
          <w:sz w:val="22"/>
        </w:rPr>
        <w:t>10. Export court-admissible forensic PDF dossiers with full findings documentation.</w:t>
      </w:r>
    </w:p>
    <w:p>
      <w:pPr>
        <w:spacing w:before="200" w:after="80"/>
      </w:pPr>
      <w:r>
        <w:rPr>
          <w:b/>
          <w:color w:val="2C5F8A"/>
          <w:sz w:val="24"/>
        </w:rPr>
        <w:t>1.4 Scope and Key Contributions</w:t>
      </w:r>
    </w:p>
    <w:p>
      <w:pPr>
        <w:spacing w:before="40" w:after="80" w:line="360" w:lineRule="auto"/>
      </w:pPr>
      <w:r>
        <w:rPr>
          <w:color w:val="0F172A"/>
          <w:sz w:val="22"/>
        </w:rPr>
        <w:t>The project covers the full forensic pipeline from raw evidence ingestion to judicial-grade PDF reporting, implemented as a self-contained, offline FastAPI web application. The principal contributions are:</w:t>
      </w:r>
    </w:p>
    <w:p>
      <w:pPr>
        <w:pStyle w:val="ListBullet"/>
        <w:spacing w:before="20" w:after="60"/>
      </w:pPr>
      <w:r>
        <w:rPr>
          <w:color w:val="0F172A"/>
          <w:sz w:val="22"/>
        </w:rPr>
        <w:t>A cryptographic evidence vault implementing ISO/IEC 27037 bitwise immutability and SHA-256 integrity verification for digital forensics admissibility.</w:t>
      </w:r>
    </w:p>
    <w:p>
      <w:pPr>
        <w:pStyle w:val="ListBullet"/>
        <w:spacing w:before="20" w:after="60"/>
      </w:pPr>
      <w:r>
        <w:rPr>
          <w:color w:val="0F172A"/>
          <w:sz w:val="22"/>
        </w:rPr>
        <w:t>A multi-layer identity consistency engine combining SPF/DKIM/DMARC/ARC cryptographic analysis with domain lookalike detection and display-name spoofing heuristics.</w:t>
      </w:r>
    </w:p>
    <w:p>
      <w:pPr>
        <w:pStyle w:val="ListBullet"/>
        <w:spacing w:before="20" w:after="60"/>
      </w:pPr>
      <w:r>
        <w:rPr>
          <w:color w:val="0F172A"/>
          <w:sz w:val="22"/>
        </w:rPr>
        <w:t>A behavioural identity fingerprinting and drift detection engine using Z-score statistical analysis to detect compromised sender accounts even when authentication passes.</w:t>
      </w:r>
    </w:p>
    <w:p>
      <w:pPr>
        <w:pStyle w:val="ListBullet"/>
        <w:spacing w:before="20" w:after="60"/>
      </w:pPr>
      <w:r>
        <w:rPr>
          <w:color w:val="0F172A"/>
          <w:sz w:val="22"/>
        </w:rPr>
        <w:t>An interactive communication graph using NetworkX + Cytoscape.js to visualise sender–recipient relationships and flag first-time contact channels.</w:t>
      </w:r>
    </w:p>
    <w:p>
      <w:pPr>
        <w:pStyle w:val="ListBullet"/>
        <w:spacing w:before="20" w:after="60"/>
      </w:pPr>
      <w:r>
        <w:rPr>
          <w:color w:val="0F172A"/>
          <w:sz w:val="22"/>
        </w:rPr>
        <w:t>A 7-stage BEC attack kill-chain reconstruction engine mapping email sequences to known attack patterns from FBI IC3 documented BEC methodologies.</w:t>
      </w:r>
    </w:p>
    <w:p>
      <w:pPr>
        <w:pStyle w:val="ListBullet"/>
        <w:spacing w:before="20" w:after="60"/>
      </w:pPr>
      <w:r>
        <w:rPr>
          <w:color w:val="0F172A"/>
          <w:sz w:val="22"/>
        </w:rPr>
        <w:t>An explainable risk scoring engine that generates transparent, counterfactual-supported forensic rationale rather than opaque confidence values.</w:t>
      </w:r>
    </w:p>
    <w:p>
      <w:pPr>
        <w:spacing w:before="200" w:after="80"/>
      </w:pPr>
      <w:r>
        <w:rPr>
          <w:b/>
          <w:color w:val="2C5F8A"/>
          <w:sz w:val="24"/>
        </w:rPr>
        <w:t>1.5 Related Work and Gap Addressed</w:t>
      </w:r>
    </w:p>
    <w:p>
      <w:pPr>
        <w:spacing w:before="40" w:after="80" w:line="360" w:lineRule="auto"/>
      </w:pPr>
      <w:r>
        <w:rPr>
          <w:color w:val="0F172A"/>
          <w:sz w:val="22"/>
        </w:rPr>
        <w:t>Existing email security tools fall into three categories: (a) spam/phishing classifiers based on known-bad signatures and URL reputation, (b) enterprise security platforms such as Proofpoint and Mimecast that use machine-learning models trained on aggregate threat intelligence, and (c) academic NLP-based BEC detectors that require cloud inference APIs.</w:t>
      </w:r>
    </w:p>
    <w:p>
      <w:pPr>
        <w:spacing w:before="40" w:after="80" w:line="360" w:lineRule="auto"/>
      </w:pPr>
      <w:r>
        <w:rPr>
          <w:color w:val="0F172A"/>
          <w:sz w:val="22"/>
        </w:rPr>
        <w:t>None of these tools addresses the specific forensic requirements of DFIR investigations: ISO/IEC 27037 chain-of-custody compliance, explainable deterministic scoring that can be defended in court, complete offline operation suitable for air-gapped forensic workstations, multi-email kill-chain progression analysis, and sender behavioural drift detection over time. BEC-FORGE fills this gap.</w:t>
      </w:r>
    </w:p>
    <w:p>
      <w:r>
        <w:br w:type="page"/>
      </w:r>
    </w:p>
    <w:p>
      <w:pPr>
        <w:spacing w:before="400" w:after="120"/>
      </w:pPr>
      <w:r>
        <w:rPr>
          <w:b/>
          <w:color w:val="1E3A5F"/>
          <w:sz w:val="32"/>
        </w:rPr>
        <w:t>2. Solution Description</w:t>
      </w:r>
    </w:p>
    <w:p>
      <w:pPr>
        <w:spacing w:before="40" w:after="80" w:line="360" w:lineRule="auto"/>
      </w:pPr>
      <w:r>
        <w:rPr>
          <w:color w:val="0F172A"/>
          <w:sz w:val="22"/>
        </w:rPr>
        <w:t>BEC-FORGE is a multi-tier forensic investigation platform that processes raw email evidence through a sequential pipeline of specialised forensic analysis engines, accumulating structured findings at each stage before synthesising them into a comprehensive risk assessment and PDF dossier.</w:t>
      </w:r>
    </w:p>
    <w:p>
      <w:pPr>
        <w:spacing w:before="200" w:after="80"/>
      </w:pPr>
      <w:r>
        <w:rPr>
          <w:b/>
          <w:color w:val="2C5F8A"/>
          <w:sz w:val="24"/>
        </w:rPr>
        <w:t>2.1 High-Level Architecture</w:t>
      </w:r>
    </w:p>
    <w:p>
      <w:pPr>
        <w:spacing w:before="40" w:after="80" w:line="360" w:lineRule="auto"/>
      </w:pPr>
      <w:r>
        <w:rPr>
          <w:color w:val="0F172A"/>
          <w:sz w:val="22"/>
        </w:rPr>
        <w:t>The platform is organised into six tiers that form a complete forensic pipeline:</w:t>
      </w:r>
    </w:p>
    <w:tbl>
      <w:tblPr>
        <w:tblStyle w:val="TableGrid"/>
        <w:tblW w:type="auto" w:w="0"/>
        <w:tblLayout w:type="fixed"/>
        <w:tblLook w:firstColumn="1" w:firstRow="1" w:lastColumn="0" w:lastRow="0" w:noHBand="0" w:noVBand="1" w:val="04A0"/>
      </w:tblPr>
      <w:tblGrid>
        <w:gridCol w:w="3022"/>
        <w:gridCol w:w="3022"/>
        <w:gridCol w:w="3022"/>
      </w:tblGrid>
      <w:tr>
        <w:tc>
          <w:tcPr>
            <w:tcW w:type="dxa" w:w="2304"/>
            <w:shd w:val="clear" w:color="auto" w:fill="1E3A5F"/>
          </w:tcPr>
          <w:p>
            <w:r/>
            <w:r>
              <w:rPr>
                <w:b/>
                <w:color w:val="FFFFFF"/>
                <w:sz w:val="20"/>
              </w:rPr>
              <w:t>Tier</w:t>
            </w:r>
          </w:p>
        </w:tc>
        <w:tc>
          <w:tcPr>
            <w:tcW w:type="dxa" w:w="2880"/>
            <w:shd w:val="clear" w:color="auto" w:fill="1E3A5F"/>
          </w:tcPr>
          <w:p>
            <w:r/>
            <w:r>
              <w:rPr>
                <w:b/>
                <w:color w:val="FFFFFF"/>
                <w:sz w:val="20"/>
              </w:rPr>
              <w:t>Primary Modules</w:t>
            </w:r>
          </w:p>
        </w:tc>
        <w:tc>
          <w:tcPr>
            <w:tcW w:type="dxa" w:w="4032"/>
            <w:shd w:val="clear" w:color="auto" w:fill="1E3A5F"/>
          </w:tcPr>
          <w:p>
            <w:r/>
            <w:r>
              <w:rPr>
                <w:b/>
                <w:color w:val="FFFFFF"/>
                <w:sz w:val="20"/>
              </w:rPr>
              <w:t>Forensic Responsibilities</w:t>
            </w:r>
          </w:p>
        </w:tc>
      </w:tr>
      <w:tr>
        <w:tc>
          <w:tcPr>
            <w:tcW w:type="dxa" w:w="2304"/>
            <w:shd w:val="clear" w:color="auto" w:fill="F1F5F9"/>
          </w:tcPr>
          <w:p>
            <w:r/>
            <w:r>
              <w:rPr>
                <w:color w:val="0F172A"/>
                <w:sz w:val="20"/>
              </w:rPr>
              <w:t>Tier 1 — Evidence Acquisition Layer</w:t>
            </w:r>
          </w:p>
        </w:tc>
        <w:tc>
          <w:tcPr>
            <w:tcW w:type="dxa" w:w="2880"/>
            <w:shd w:val="clear" w:color="auto" w:fill="F1F5F9"/>
          </w:tcPr>
          <w:p>
            <w:r/>
            <w:r>
              <w:rPr>
                <w:color w:val="0F172A"/>
                <w:sz w:val="20"/>
              </w:rPr>
              <w:t>acquisition/evidence.py, acquisition/batch_ingest.py</w:t>
            </w:r>
          </w:p>
        </w:tc>
        <w:tc>
          <w:tcPr>
            <w:tcW w:type="dxa" w:w="4032"/>
            <w:shd w:val="clear" w:color="auto" w:fill="F1F5F9"/>
          </w:tcPr>
          <w:p>
            <w:r/>
            <w:r>
              <w:rPr>
                <w:color w:val="0F172A"/>
                <w:sz w:val="20"/>
              </w:rPr>
              <w:t>SHA-256 hashing, read-only vault (0o444 permissions), evidence ID assignment, chain-of-custody ledger.</w:t>
            </w:r>
          </w:p>
        </w:tc>
      </w:tr>
      <w:tr>
        <w:tc>
          <w:tcPr>
            <w:tcW w:type="dxa" w:w="2304"/>
            <w:shd w:val="clear" w:color="auto" w:fill="FFFFFF"/>
          </w:tcPr>
          <w:p>
            <w:r/>
            <w:r>
              <w:rPr>
                <w:color w:val="0F172A"/>
                <w:sz w:val="20"/>
              </w:rPr>
              <w:t>Tier 2 — Multi-Format Parsing Layer</w:t>
            </w:r>
          </w:p>
        </w:tc>
        <w:tc>
          <w:tcPr>
            <w:tcW w:type="dxa" w:w="2880"/>
            <w:shd w:val="clear" w:color="auto" w:fill="FFFFFF"/>
          </w:tcPr>
          <w:p>
            <w:r/>
            <w:r>
              <w:rPr>
                <w:color w:val="0F172A"/>
                <w:sz w:val="20"/>
              </w:rPr>
              <w:t>parser/eml_parser.py, parser/mbox_parser.py</w:t>
            </w:r>
          </w:p>
        </w:tc>
        <w:tc>
          <w:tcPr>
            <w:tcW w:type="dxa" w:w="4032"/>
            <w:shd w:val="clear" w:color="auto" w:fill="FFFFFF"/>
          </w:tcPr>
          <w:p>
            <w:r/>
            <w:r>
              <w:rPr>
                <w:color w:val="0F172A"/>
                <w:sz w:val="20"/>
              </w:rPr>
              <w:t>RFC-822 / MIME parsing, RFC-2047 header decoding, body and attachment extraction, URL discovery.</w:t>
            </w:r>
          </w:p>
        </w:tc>
      </w:tr>
      <w:tr>
        <w:tc>
          <w:tcPr>
            <w:tcW w:type="dxa" w:w="2304"/>
            <w:shd w:val="clear" w:color="auto" w:fill="F1F5F9"/>
          </w:tcPr>
          <w:p>
            <w:r/>
            <w:r>
              <w:rPr>
                <w:color w:val="0F172A"/>
                <w:sz w:val="20"/>
              </w:rPr>
              <w:t>Tier 3 — Multi-Vector Forensic Analysis</w:t>
            </w:r>
          </w:p>
        </w:tc>
        <w:tc>
          <w:tcPr>
            <w:tcW w:type="dxa" w:w="2880"/>
            <w:shd w:val="clear" w:color="auto" w:fill="F1F5F9"/>
          </w:tcPr>
          <w:p>
            <w:r/>
            <w:r>
              <w:rPr>
                <w:color w:val="0F172A"/>
                <w:sz w:val="20"/>
              </w:rPr>
              <w:t>analysis/auth_analysis.py, domain_analysis.py, header_analysis.py, routing_analysis.py, nlp/language_analysis.py</w:t>
            </w:r>
          </w:p>
        </w:tc>
        <w:tc>
          <w:tcPr>
            <w:tcW w:type="dxa" w:w="4032"/>
            <w:shd w:val="clear" w:color="auto" w:fill="F1F5F9"/>
          </w:tcPr>
          <w:p>
            <w:r/>
            <w:r>
              <w:rPr>
                <w:color w:val="0F172A"/>
                <w:sz w:val="20"/>
              </w:rPr>
              <w:t>SPF/DKIM/DMARC/ARC verification, domain similarity scoring, display-name spoofing, MTA hop trace, NLP urgency/financial/secrecy vectors.</w:t>
            </w:r>
          </w:p>
        </w:tc>
      </w:tr>
      <w:tr>
        <w:tc>
          <w:tcPr>
            <w:tcW w:type="dxa" w:w="2304"/>
            <w:shd w:val="clear" w:color="auto" w:fill="FFFFFF"/>
          </w:tcPr>
          <w:p>
            <w:r/>
            <w:r>
              <w:rPr>
                <w:color w:val="0F172A"/>
                <w:sz w:val="20"/>
              </w:rPr>
              <w:t>Tier 4 — Behavioural Intelligence</w:t>
            </w:r>
          </w:p>
        </w:tc>
        <w:tc>
          <w:tcPr>
            <w:tcW w:type="dxa" w:w="2880"/>
            <w:shd w:val="clear" w:color="auto" w:fill="FFFFFF"/>
          </w:tcPr>
          <w:p>
            <w:r/>
            <w:r>
              <w:rPr>
                <w:color w:val="0F172A"/>
                <w:sz w:val="20"/>
              </w:rPr>
              <w:t>behavioral/fingerprint.py, behavioral/statistics.py</w:t>
            </w:r>
          </w:p>
        </w:tc>
        <w:tc>
          <w:tcPr>
            <w:tcW w:type="dxa" w:w="4032"/>
            <w:shd w:val="clear" w:color="auto" w:fill="FFFFFF"/>
          </w:tcPr>
          <w:p>
            <w:r/>
            <w:r>
              <w:rPr>
                <w:color w:val="0F172A"/>
                <w:sz w:val="20"/>
              </w:rPr>
              <w:t>Sender profile compilation, Z-score drift detection, temporal anomaly flagging.</w:t>
            </w:r>
          </w:p>
        </w:tc>
      </w:tr>
      <w:tr>
        <w:tc>
          <w:tcPr>
            <w:tcW w:type="dxa" w:w="2304"/>
            <w:shd w:val="clear" w:color="auto" w:fill="F1F5F9"/>
          </w:tcPr>
          <w:p>
            <w:r/>
            <w:r>
              <w:rPr>
                <w:color w:val="0F172A"/>
                <w:sz w:val="20"/>
              </w:rPr>
              <w:t>Tier 5 — Graph &amp; Kill-Chain Intelligence</w:t>
            </w:r>
          </w:p>
        </w:tc>
        <w:tc>
          <w:tcPr>
            <w:tcW w:type="dxa" w:w="2880"/>
            <w:shd w:val="clear" w:color="auto" w:fill="F1F5F9"/>
          </w:tcPr>
          <w:p>
            <w:r/>
            <w:r>
              <w:rPr>
                <w:color w:val="0F172A"/>
                <w:sz w:val="20"/>
              </w:rPr>
              <w:t>graph/communication_graph.py, detection/attack_chain.py, detection/conversation_hijacking.py</w:t>
            </w:r>
          </w:p>
        </w:tc>
        <w:tc>
          <w:tcPr>
            <w:tcW w:type="dxa" w:w="4032"/>
            <w:shd w:val="clear" w:color="auto" w:fill="F1F5F9"/>
          </w:tcPr>
          <w:p>
            <w:r/>
            <w:r>
              <w:rPr>
                <w:color w:val="0F172A"/>
                <w:sz w:val="20"/>
              </w:rPr>
              <w:t>NetworkX directed graph, new relationship detection, 7-stage BEC kill-chain reconstruction.</w:t>
            </w:r>
          </w:p>
        </w:tc>
      </w:tr>
      <w:tr>
        <w:tc>
          <w:tcPr>
            <w:tcW w:type="dxa" w:w="2304"/>
            <w:shd w:val="clear" w:color="auto" w:fill="FFFFFF"/>
          </w:tcPr>
          <w:p>
            <w:r/>
            <w:r>
              <w:rPr>
                <w:color w:val="0F172A"/>
                <w:sz w:val="20"/>
              </w:rPr>
              <w:t>Tier 6 — Risk Synthesis &amp; Reporting</w:t>
            </w:r>
          </w:p>
        </w:tc>
        <w:tc>
          <w:tcPr>
            <w:tcW w:type="dxa" w:w="2880"/>
            <w:shd w:val="clear" w:color="auto" w:fill="FFFFFF"/>
          </w:tcPr>
          <w:p>
            <w:r/>
            <w:r>
              <w:rPr>
                <w:color w:val="0F172A"/>
                <w:sz w:val="20"/>
              </w:rPr>
              <w:t>detection/risk_engine.py, reporting/pdf_report.py, server/app.py</w:t>
            </w:r>
          </w:p>
        </w:tc>
        <w:tc>
          <w:tcPr>
            <w:tcW w:type="dxa" w:w="4032"/>
            <w:shd w:val="clear" w:color="auto" w:fill="FFFFFF"/>
          </w:tcPr>
          <w:p>
            <w:r/>
            <w:r>
              <w:rPr>
                <w:color w:val="0F172A"/>
                <w:sz w:val="20"/>
              </w:rPr>
              <w:t>Weighted composite risk score, counterfactual simulation, ReportLab PDF dossier, FastAPI + Jinja2 web console.</w:t>
            </w:r>
          </w:p>
        </w:tc>
      </w:tr>
    </w:tbl>
    <w:p/>
    <w:p>
      <w:pPr>
        <w:spacing w:before="200" w:after="80"/>
      </w:pPr>
      <w:r>
        <w:rPr>
          <w:b/>
          <w:color w:val="2C5F8A"/>
          <w:sz w:val="24"/>
        </w:rPr>
        <w:t>2.2 Technology Stack</w:t>
      </w:r>
    </w:p>
    <w:tbl>
      <w:tblPr>
        <w:tblStyle w:val="TableGrid"/>
        <w:tblW w:type="auto" w:w="0"/>
        <w:tblLayout w:type="fixed"/>
        <w:tblLook w:firstColumn="1" w:firstRow="1" w:lastColumn="0" w:lastRow="0" w:noHBand="0" w:noVBand="1" w:val="04A0"/>
      </w:tblPr>
      <w:tblGrid>
        <w:gridCol w:w="3022"/>
        <w:gridCol w:w="3022"/>
        <w:gridCol w:w="3022"/>
      </w:tblGrid>
      <w:tr>
        <w:tc>
          <w:tcPr>
            <w:tcW w:type="dxa" w:w="2160"/>
            <w:shd w:val="clear" w:color="auto" w:fill="1E3A5F"/>
          </w:tcPr>
          <w:p>
            <w:r/>
            <w:r>
              <w:rPr>
                <w:b/>
                <w:color w:val="FFFFFF"/>
                <w:sz w:val="20"/>
              </w:rPr>
              <w:t>Component</w:t>
            </w:r>
          </w:p>
        </w:tc>
        <w:tc>
          <w:tcPr>
            <w:tcW w:type="dxa" w:w="2880"/>
            <w:shd w:val="clear" w:color="auto" w:fill="1E3A5F"/>
          </w:tcPr>
          <w:p>
            <w:r/>
            <w:r>
              <w:rPr>
                <w:b/>
                <w:color w:val="FFFFFF"/>
                <w:sz w:val="20"/>
              </w:rPr>
              <w:t>Technology</w:t>
            </w:r>
          </w:p>
        </w:tc>
        <w:tc>
          <w:tcPr>
            <w:tcW w:type="dxa" w:w="4176"/>
            <w:shd w:val="clear" w:color="auto" w:fill="1E3A5F"/>
          </w:tcPr>
          <w:p>
            <w:r/>
            <w:r>
              <w:rPr>
                <w:b/>
                <w:color w:val="FFFFFF"/>
                <w:sz w:val="20"/>
              </w:rPr>
              <w:t>Rationale</w:t>
            </w:r>
          </w:p>
        </w:tc>
      </w:tr>
      <w:tr>
        <w:tc>
          <w:tcPr>
            <w:tcW w:type="dxa" w:w="2160"/>
            <w:shd w:val="clear" w:color="auto" w:fill="F1F5F9"/>
          </w:tcPr>
          <w:p>
            <w:r/>
            <w:r>
              <w:rPr>
                <w:color w:val="0F172A"/>
                <w:sz w:val="20"/>
              </w:rPr>
              <w:t>Web Server</w:t>
            </w:r>
          </w:p>
        </w:tc>
        <w:tc>
          <w:tcPr>
            <w:tcW w:type="dxa" w:w="2880"/>
            <w:shd w:val="clear" w:color="auto" w:fill="F1F5F9"/>
          </w:tcPr>
          <w:p>
            <w:r/>
            <w:r>
              <w:rPr>
                <w:color w:val="0F172A"/>
                <w:sz w:val="20"/>
              </w:rPr>
              <w:t>Python 3.11, FastAPI, Uvicorn</w:t>
            </w:r>
          </w:p>
        </w:tc>
        <w:tc>
          <w:tcPr>
            <w:tcW w:type="dxa" w:w="4176"/>
            <w:shd w:val="clear" w:color="auto" w:fill="F1F5F9"/>
          </w:tcPr>
          <w:p>
            <w:r/>
            <w:r>
              <w:rPr>
                <w:color w:val="0F172A"/>
                <w:sz w:val="20"/>
              </w:rPr>
              <w:t>High-performance async API with automatic OpenAPI schema generation.</w:t>
            </w:r>
          </w:p>
        </w:tc>
      </w:tr>
      <w:tr>
        <w:tc>
          <w:tcPr>
            <w:tcW w:type="dxa" w:w="2160"/>
            <w:shd w:val="clear" w:color="auto" w:fill="FFFFFF"/>
          </w:tcPr>
          <w:p>
            <w:r/>
            <w:r>
              <w:rPr>
                <w:color w:val="0F172A"/>
                <w:sz w:val="20"/>
              </w:rPr>
              <w:t>Frontend UI</w:t>
            </w:r>
          </w:p>
        </w:tc>
        <w:tc>
          <w:tcPr>
            <w:tcW w:type="dxa" w:w="2880"/>
            <w:shd w:val="clear" w:color="auto" w:fill="FFFFFF"/>
          </w:tcPr>
          <w:p>
            <w:r/>
            <w:r>
              <w:rPr>
                <w:color w:val="0F172A"/>
                <w:sz w:val="20"/>
              </w:rPr>
              <w:t>Jinja2 HTML templates, Vanilla CSS</w:t>
            </w:r>
          </w:p>
        </w:tc>
        <w:tc>
          <w:tcPr>
            <w:tcW w:type="dxa" w:w="4176"/>
            <w:shd w:val="clear" w:color="auto" w:fill="FFFFFF"/>
          </w:tcPr>
          <w:p>
            <w:r/>
            <w:r>
              <w:rPr>
                <w:color w:val="0F172A"/>
                <w:sz w:val="20"/>
              </w:rPr>
              <w:t>No JavaScript framework dependency; forensic console runs offline.</w:t>
            </w:r>
          </w:p>
        </w:tc>
      </w:tr>
      <w:tr>
        <w:tc>
          <w:tcPr>
            <w:tcW w:type="dxa" w:w="2160"/>
            <w:shd w:val="clear" w:color="auto" w:fill="F1F5F9"/>
          </w:tcPr>
          <w:p>
            <w:r/>
            <w:r>
              <w:rPr>
                <w:color w:val="0F172A"/>
                <w:sz w:val="20"/>
              </w:rPr>
              <w:t>Database</w:t>
            </w:r>
          </w:p>
        </w:tc>
        <w:tc>
          <w:tcPr>
            <w:tcW w:type="dxa" w:w="2880"/>
            <w:shd w:val="clear" w:color="auto" w:fill="F1F5F9"/>
          </w:tcPr>
          <w:p>
            <w:r/>
            <w:r>
              <w:rPr>
                <w:color w:val="0F172A"/>
                <w:sz w:val="20"/>
              </w:rPr>
              <w:t>SQLite (single-file)</w:t>
            </w:r>
          </w:p>
        </w:tc>
        <w:tc>
          <w:tcPr>
            <w:tcW w:type="dxa" w:w="4176"/>
            <w:shd w:val="clear" w:color="auto" w:fill="F1F5F9"/>
          </w:tcPr>
          <w:p>
            <w:r/>
            <w:r>
              <w:rPr>
                <w:color w:val="0F172A"/>
                <w:sz w:val="20"/>
              </w:rPr>
              <w:t>Portable, zero-config, suitable for forensic seizure packaging.</w:t>
            </w:r>
          </w:p>
        </w:tc>
      </w:tr>
      <w:tr>
        <w:tc>
          <w:tcPr>
            <w:tcW w:type="dxa" w:w="2160"/>
            <w:shd w:val="clear" w:color="auto" w:fill="FFFFFF"/>
          </w:tcPr>
          <w:p>
            <w:r/>
            <w:r>
              <w:rPr>
                <w:color w:val="0F172A"/>
                <w:sz w:val="20"/>
              </w:rPr>
              <w:t>Graph Engine</w:t>
            </w:r>
          </w:p>
        </w:tc>
        <w:tc>
          <w:tcPr>
            <w:tcW w:type="dxa" w:w="2880"/>
            <w:shd w:val="clear" w:color="auto" w:fill="FFFFFF"/>
          </w:tcPr>
          <w:p>
            <w:r/>
            <w:r>
              <w:rPr>
                <w:color w:val="0F172A"/>
                <w:sz w:val="20"/>
              </w:rPr>
              <w:t>NetworkX (Python)</w:t>
            </w:r>
          </w:p>
        </w:tc>
        <w:tc>
          <w:tcPr>
            <w:tcW w:type="dxa" w:w="4176"/>
            <w:shd w:val="clear" w:color="auto" w:fill="FFFFFF"/>
          </w:tcPr>
          <w:p>
            <w:r/>
            <w:r>
              <w:rPr>
                <w:color w:val="0F172A"/>
                <w:sz w:val="20"/>
              </w:rPr>
              <w:t>Deterministic graph computation, no external service required.</w:t>
            </w:r>
          </w:p>
        </w:tc>
      </w:tr>
      <w:tr>
        <w:tc>
          <w:tcPr>
            <w:tcW w:type="dxa" w:w="2160"/>
            <w:shd w:val="clear" w:color="auto" w:fill="F1F5F9"/>
          </w:tcPr>
          <w:p>
            <w:r/>
            <w:r>
              <w:rPr>
                <w:color w:val="0F172A"/>
                <w:sz w:val="20"/>
              </w:rPr>
              <w:t>Graph Visualisation</w:t>
            </w:r>
          </w:p>
        </w:tc>
        <w:tc>
          <w:tcPr>
            <w:tcW w:type="dxa" w:w="2880"/>
            <w:shd w:val="clear" w:color="auto" w:fill="F1F5F9"/>
          </w:tcPr>
          <w:p>
            <w:r/>
            <w:r>
              <w:rPr>
                <w:color w:val="0F172A"/>
                <w:sz w:val="20"/>
              </w:rPr>
              <w:t>Cytoscape.js (CDN)</w:t>
            </w:r>
          </w:p>
        </w:tc>
        <w:tc>
          <w:tcPr>
            <w:tcW w:type="dxa" w:w="4176"/>
            <w:shd w:val="clear" w:color="auto" w:fill="F1F5F9"/>
          </w:tcPr>
          <w:p>
            <w:r/>
            <w:r>
              <w:rPr>
                <w:color w:val="0F172A"/>
                <w:sz w:val="20"/>
              </w:rPr>
              <w:t>Professional network canvas; renders sender–recipient topology.</w:t>
            </w:r>
          </w:p>
        </w:tc>
      </w:tr>
      <w:tr>
        <w:tc>
          <w:tcPr>
            <w:tcW w:type="dxa" w:w="2160"/>
            <w:shd w:val="clear" w:color="auto" w:fill="FFFFFF"/>
          </w:tcPr>
          <w:p>
            <w:r/>
            <w:r>
              <w:rPr>
                <w:color w:val="0F172A"/>
                <w:sz w:val="20"/>
              </w:rPr>
              <w:t>PDF Reports</w:t>
            </w:r>
          </w:p>
        </w:tc>
        <w:tc>
          <w:tcPr>
            <w:tcW w:type="dxa" w:w="2880"/>
            <w:shd w:val="clear" w:color="auto" w:fill="FFFFFF"/>
          </w:tcPr>
          <w:p>
            <w:r/>
            <w:r>
              <w:rPr>
                <w:color w:val="0F172A"/>
                <w:sz w:val="20"/>
              </w:rPr>
              <w:t>ReportLab</w:t>
            </w:r>
          </w:p>
        </w:tc>
        <w:tc>
          <w:tcPr>
            <w:tcW w:type="dxa" w:w="4176"/>
            <w:shd w:val="clear" w:color="auto" w:fill="FFFFFF"/>
          </w:tcPr>
          <w:p>
            <w:r/>
            <w:r>
              <w:rPr>
                <w:color w:val="0F172A"/>
                <w:sz w:val="20"/>
              </w:rPr>
              <w:t>Pure-Python PDF generation without external processes.</w:t>
            </w:r>
          </w:p>
        </w:tc>
      </w:tr>
      <w:tr>
        <w:tc>
          <w:tcPr>
            <w:tcW w:type="dxa" w:w="2160"/>
            <w:shd w:val="clear" w:color="auto" w:fill="F1F5F9"/>
          </w:tcPr>
          <w:p>
            <w:r/>
            <w:r>
              <w:rPr>
                <w:color w:val="0F172A"/>
                <w:sz w:val="20"/>
              </w:rPr>
              <w:t>NLP Analysis</w:t>
            </w:r>
          </w:p>
        </w:tc>
        <w:tc>
          <w:tcPr>
            <w:tcW w:type="dxa" w:w="2880"/>
            <w:shd w:val="clear" w:color="auto" w:fill="F1F5F9"/>
          </w:tcPr>
          <w:p>
            <w:r/>
            <w:r>
              <w:rPr>
                <w:color w:val="0F172A"/>
                <w:sz w:val="20"/>
              </w:rPr>
              <w:t>Rule-based keyword vectors</w:t>
            </w:r>
          </w:p>
        </w:tc>
        <w:tc>
          <w:tcPr>
            <w:tcW w:type="dxa" w:w="4176"/>
            <w:shd w:val="clear" w:color="auto" w:fill="F1F5F9"/>
          </w:tcPr>
          <w:p>
            <w:r/>
            <w:r>
              <w:rPr>
                <w:color w:val="0F172A"/>
                <w:sz w:val="20"/>
              </w:rPr>
              <w:t>Deterministic, explainable; no cloud LLM or model inference.</w:t>
            </w:r>
          </w:p>
        </w:tc>
      </w:tr>
      <w:tr>
        <w:tc>
          <w:tcPr>
            <w:tcW w:type="dxa" w:w="2160"/>
            <w:shd w:val="clear" w:color="auto" w:fill="FFFFFF"/>
          </w:tcPr>
          <w:p>
            <w:r/>
            <w:r>
              <w:rPr>
                <w:color w:val="0F172A"/>
                <w:sz w:val="20"/>
              </w:rPr>
              <w:t>Test Framework</w:t>
            </w:r>
          </w:p>
        </w:tc>
        <w:tc>
          <w:tcPr>
            <w:tcW w:type="dxa" w:w="2880"/>
            <w:shd w:val="clear" w:color="auto" w:fill="FFFFFF"/>
          </w:tcPr>
          <w:p>
            <w:r/>
            <w:r>
              <w:rPr>
                <w:color w:val="0F172A"/>
                <w:sz w:val="20"/>
              </w:rPr>
              <w:t>pytest + httpx (FastAPI TestClient)</w:t>
            </w:r>
          </w:p>
        </w:tc>
        <w:tc>
          <w:tcPr>
            <w:tcW w:type="dxa" w:w="4176"/>
            <w:shd w:val="clear" w:color="auto" w:fill="FFFFFF"/>
          </w:tcPr>
          <w:p>
            <w:r/>
            <w:r>
              <w:rPr>
                <w:color w:val="0F172A"/>
                <w:sz w:val="20"/>
              </w:rPr>
              <w:t>79 unit and integration tests covering all forensic modules.</w:t>
            </w:r>
          </w:p>
        </w:tc>
      </w:tr>
    </w:tbl>
    <w:p>
      <w:pPr>
        <w:spacing w:before="200" w:after="80"/>
      </w:pPr>
      <w:r>
        <w:rPr>
          <w:b/>
          <w:color w:val="2C5F8A"/>
          <w:sz w:val="24"/>
        </w:rPr>
        <w:t>2.3 Principal Modules</w:t>
      </w:r>
    </w:p>
    <w:tbl>
      <w:tblPr>
        <w:tblStyle w:val="TableGrid"/>
        <w:tblW w:type="auto" w:w="0"/>
        <w:tblLayout w:type="fixed"/>
        <w:tblLook w:firstColumn="1" w:firstRow="1" w:lastColumn="0" w:lastRow="0" w:noHBand="0" w:noVBand="1" w:val="04A0"/>
      </w:tblPr>
      <w:tblGrid>
        <w:gridCol w:w="4533"/>
        <w:gridCol w:w="4533"/>
      </w:tblGrid>
      <w:tr>
        <w:tc>
          <w:tcPr>
            <w:tcW w:type="dxa" w:w="3456"/>
            <w:shd w:val="clear" w:color="auto" w:fill="1E3A5F"/>
          </w:tcPr>
          <w:p>
            <w:r/>
            <w:r>
              <w:rPr>
                <w:b/>
                <w:color w:val="FFFFFF"/>
                <w:sz w:val="20"/>
              </w:rPr>
              <w:t>Module</w:t>
            </w:r>
          </w:p>
        </w:tc>
        <w:tc>
          <w:tcPr>
            <w:tcW w:type="dxa" w:w="5760"/>
            <w:shd w:val="clear" w:color="auto" w:fill="1E3A5F"/>
          </w:tcPr>
          <w:p>
            <w:r/>
            <w:r>
              <w:rPr>
                <w:b/>
                <w:color w:val="FFFFFF"/>
                <w:sz w:val="20"/>
              </w:rPr>
              <w:t>Responsibility</w:t>
            </w:r>
          </w:p>
        </w:tc>
      </w:tr>
      <w:tr>
        <w:tc>
          <w:tcPr>
            <w:tcW w:type="dxa" w:w="3456"/>
            <w:shd w:val="clear" w:color="auto" w:fill="F1F5F9"/>
          </w:tcPr>
          <w:p>
            <w:r/>
            <w:r>
              <w:rPr>
                <w:color w:val="0F172A"/>
                <w:sz w:val="20"/>
              </w:rPr>
              <w:t>acquisition/evidence.py</w:t>
            </w:r>
          </w:p>
        </w:tc>
        <w:tc>
          <w:tcPr>
            <w:tcW w:type="dxa" w:w="5760"/>
            <w:shd w:val="clear" w:color="auto" w:fill="F1F5F9"/>
          </w:tcPr>
          <w:p>
            <w:r/>
            <w:r>
              <w:rPr>
                <w:color w:val="0F172A"/>
                <w:sz w:val="20"/>
              </w:rPr>
              <w:t>SHA-256 hashing, read-only vault write, EVD-YYYY-NNNN docket assignment.</w:t>
            </w:r>
          </w:p>
        </w:tc>
      </w:tr>
      <w:tr>
        <w:tc>
          <w:tcPr>
            <w:tcW w:type="dxa" w:w="3456"/>
            <w:shd w:val="clear" w:color="auto" w:fill="FFFFFF"/>
          </w:tcPr>
          <w:p>
            <w:r/>
            <w:r>
              <w:rPr>
                <w:color w:val="0F172A"/>
                <w:sz w:val="20"/>
              </w:rPr>
              <w:t>acquisition/batch_ingest.py</w:t>
            </w:r>
          </w:p>
        </w:tc>
        <w:tc>
          <w:tcPr>
            <w:tcW w:type="dxa" w:w="5760"/>
            <w:shd w:val="clear" w:color="auto" w:fill="FFFFFF"/>
          </w:tcPr>
          <w:p>
            <w:r/>
            <w:r>
              <w:rPr>
                <w:color w:val="0F172A"/>
                <w:sz w:val="20"/>
              </w:rPr>
              <w:t>Unpacks .zip and .mbox containers into individual .eml evidence files.</w:t>
            </w:r>
          </w:p>
        </w:tc>
      </w:tr>
      <w:tr>
        <w:tc>
          <w:tcPr>
            <w:tcW w:type="dxa" w:w="3456"/>
            <w:shd w:val="clear" w:color="auto" w:fill="F1F5F9"/>
          </w:tcPr>
          <w:p>
            <w:r/>
            <w:r>
              <w:rPr>
                <w:color w:val="0F172A"/>
                <w:sz w:val="20"/>
              </w:rPr>
              <w:t>parser/eml_parser.py</w:t>
            </w:r>
          </w:p>
        </w:tc>
        <w:tc>
          <w:tcPr>
            <w:tcW w:type="dxa" w:w="5760"/>
            <w:shd w:val="clear" w:color="auto" w:fill="F1F5F9"/>
          </w:tcPr>
          <w:p>
            <w:r/>
            <w:r>
              <w:rPr>
                <w:color w:val="0F172A"/>
                <w:sz w:val="20"/>
              </w:rPr>
              <w:t>Full RFC-822 / MIME parser: headers, body, attachments, URLs, In-Reply-To.</w:t>
            </w:r>
          </w:p>
        </w:tc>
      </w:tr>
      <w:tr>
        <w:tc>
          <w:tcPr>
            <w:tcW w:type="dxa" w:w="3456"/>
            <w:shd w:val="clear" w:color="auto" w:fill="FFFFFF"/>
          </w:tcPr>
          <w:p>
            <w:r/>
            <w:r>
              <w:rPr>
                <w:color w:val="0F172A"/>
                <w:sz w:val="20"/>
              </w:rPr>
              <w:t>analysis/auth_analysis.py</w:t>
            </w:r>
          </w:p>
        </w:tc>
        <w:tc>
          <w:tcPr>
            <w:tcW w:type="dxa" w:w="5760"/>
            <w:shd w:val="clear" w:color="auto" w:fill="FFFFFF"/>
          </w:tcPr>
          <w:p>
            <w:r/>
            <w:r>
              <w:rPr>
                <w:color w:val="0F172A"/>
                <w:sz w:val="20"/>
              </w:rPr>
              <w:t>SPF, DKIM, DMARC, ARC cryptographic verification and threat hypothesis classification.</w:t>
            </w:r>
          </w:p>
        </w:tc>
      </w:tr>
      <w:tr>
        <w:tc>
          <w:tcPr>
            <w:tcW w:type="dxa" w:w="3456"/>
            <w:shd w:val="clear" w:color="auto" w:fill="F1F5F9"/>
          </w:tcPr>
          <w:p>
            <w:r/>
            <w:r>
              <w:rPr>
                <w:color w:val="0F172A"/>
                <w:sz w:val="20"/>
              </w:rPr>
              <w:t>analysis/domain_analysis.py</w:t>
            </w:r>
          </w:p>
        </w:tc>
        <w:tc>
          <w:tcPr>
            <w:tcW w:type="dxa" w:w="5760"/>
            <w:shd w:val="clear" w:color="auto" w:fill="F1F5F9"/>
          </w:tcPr>
          <w:p>
            <w:r/>
            <w:r>
              <w:rPr>
                <w:color w:val="0F172A"/>
                <w:sz w:val="20"/>
              </w:rPr>
              <w:t>Levenshtein lookalike scoring, homoglyph detection, suspicious TLD inspection.</w:t>
            </w:r>
          </w:p>
        </w:tc>
      </w:tr>
      <w:tr>
        <w:tc>
          <w:tcPr>
            <w:tcW w:type="dxa" w:w="3456"/>
            <w:shd w:val="clear" w:color="auto" w:fill="FFFFFF"/>
          </w:tcPr>
          <w:p>
            <w:r/>
            <w:r>
              <w:rPr>
                <w:color w:val="0F172A"/>
                <w:sz w:val="20"/>
              </w:rPr>
              <w:t>analysis/header_analysis.py</w:t>
            </w:r>
          </w:p>
        </w:tc>
        <w:tc>
          <w:tcPr>
            <w:tcW w:type="dxa" w:w="5760"/>
            <w:shd w:val="clear" w:color="auto" w:fill="FFFFFF"/>
          </w:tcPr>
          <w:p>
            <w:r/>
            <w:r>
              <w:rPr>
                <w:color w:val="0F172A"/>
                <w:sz w:val="20"/>
              </w:rPr>
              <w:t>Display-name spoofing, Reply-To divergence, Return-Path mismatch.</w:t>
            </w:r>
          </w:p>
        </w:tc>
      </w:tr>
      <w:tr>
        <w:tc>
          <w:tcPr>
            <w:tcW w:type="dxa" w:w="3456"/>
            <w:shd w:val="clear" w:color="auto" w:fill="F1F5F9"/>
          </w:tcPr>
          <w:p>
            <w:r/>
            <w:r>
              <w:rPr>
                <w:color w:val="0F172A"/>
                <w:sz w:val="20"/>
              </w:rPr>
              <w:t>analysis/routing_analysis.py</w:t>
            </w:r>
          </w:p>
        </w:tc>
        <w:tc>
          <w:tcPr>
            <w:tcW w:type="dxa" w:w="5760"/>
            <w:shd w:val="clear" w:color="auto" w:fill="F1F5F9"/>
          </w:tcPr>
          <w:p>
            <w:r/>
            <w:r>
              <w:rPr>
                <w:color w:val="0F172A"/>
                <w:sz w:val="20"/>
              </w:rPr>
              <w:t>Chronological MTA hop trace, RFC-1918 IP classification, transit delay anomalies.</w:t>
            </w:r>
          </w:p>
        </w:tc>
      </w:tr>
      <w:tr>
        <w:tc>
          <w:tcPr>
            <w:tcW w:type="dxa" w:w="3456"/>
            <w:shd w:val="clear" w:color="auto" w:fill="FFFFFF"/>
          </w:tcPr>
          <w:p>
            <w:r/>
            <w:r>
              <w:rPr>
                <w:color w:val="0F172A"/>
                <w:sz w:val="20"/>
              </w:rPr>
              <w:t>nlp/language_analysis.py</w:t>
            </w:r>
          </w:p>
        </w:tc>
        <w:tc>
          <w:tcPr>
            <w:tcW w:type="dxa" w:w="5760"/>
            <w:shd w:val="clear" w:color="auto" w:fill="FFFFFF"/>
          </w:tcPr>
          <w:p>
            <w:r/>
            <w:r>
              <w:rPr>
                <w:color w:val="0F172A"/>
                <w:sz w:val="20"/>
              </w:rPr>
              <w:t>Urgency, financial, executive authority, and secrecy NLP keyword vectors.</w:t>
            </w:r>
          </w:p>
        </w:tc>
      </w:tr>
      <w:tr>
        <w:tc>
          <w:tcPr>
            <w:tcW w:type="dxa" w:w="3456"/>
            <w:shd w:val="clear" w:color="auto" w:fill="F1F5F9"/>
          </w:tcPr>
          <w:p>
            <w:r/>
            <w:r>
              <w:rPr>
                <w:color w:val="0F172A"/>
                <w:sz w:val="20"/>
              </w:rPr>
              <w:t>behavioral/fingerprint.py</w:t>
            </w:r>
          </w:p>
        </w:tc>
        <w:tc>
          <w:tcPr>
            <w:tcW w:type="dxa" w:w="5760"/>
            <w:shd w:val="clear" w:color="auto" w:fill="F1F5F9"/>
          </w:tcPr>
          <w:p>
            <w:r/>
            <w:r>
              <w:rPr>
                <w:color w:val="0F172A"/>
                <w:sz w:val="20"/>
              </w:rPr>
              <w:t>Sender profile compilation: hours, recipients, Reply-To history, auth pass rate.</w:t>
            </w:r>
          </w:p>
        </w:tc>
      </w:tr>
      <w:tr>
        <w:tc>
          <w:tcPr>
            <w:tcW w:type="dxa" w:w="3456"/>
            <w:shd w:val="clear" w:color="auto" w:fill="FFFFFF"/>
          </w:tcPr>
          <w:p>
            <w:r/>
            <w:r>
              <w:rPr>
                <w:color w:val="0F172A"/>
                <w:sz w:val="20"/>
              </w:rPr>
              <w:t>behavioral/statistics.py</w:t>
            </w:r>
          </w:p>
        </w:tc>
        <w:tc>
          <w:tcPr>
            <w:tcW w:type="dxa" w:w="5760"/>
            <w:shd w:val="clear" w:color="auto" w:fill="FFFFFF"/>
          </w:tcPr>
          <w:p>
            <w:r/>
            <w:r>
              <w:rPr>
                <w:color w:val="0F172A"/>
                <w:sz w:val="20"/>
              </w:rPr>
              <w:t>Z-score computation, mean/std calculation, temporal anomaly scoring.</w:t>
            </w:r>
          </w:p>
        </w:tc>
      </w:tr>
      <w:tr>
        <w:tc>
          <w:tcPr>
            <w:tcW w:type="dxa" w:w="3456"/>
            <w:shd w:val="clear" w:color="auto" w:fill="F1F5F9"/>
          </w:tcPr>
          <w:p>
            <w:r/>
            <w:r>
              <w:rPr>
                <w:color w:val="0F172A"/>
                <w:sz w:val="20"/>
              </w:rPr>
              <w:t>graph/communication_graph.py</w:t>
            </w:r>
          </w:p>
        </w:tc>
        <w:tc>
          <w:tcPr>
            <w:tcW w:type="dxa" w:w="5760"/>
            <w:shd w:val="clear" w:color="auto" w:fill="F1F5F9"/>
          </w:tcPr>
          <w:p>
            <w:r/>
            <w:r>
              <w:rPr>
                <w:color w:val="0F172A"/>
                <w:sz w:val="20"/>
              </w:rPr>
              <w:t>NetworkX DiGraph construction, edge anomaly detection, Cytoscape JSON serialisation.</w:t>
            </w:r>
          </w:p>
        </w:tc>
      </w:tr>
      <w:tr>
        <w:tc>
          <w:tcPr>
            <w:tcW w:type="dxa" w:w="3456"/>
            <w:shd w:val="clear" w:color="auto" w:fill="FFFFFF"/>
          </w:tcPr>
          <w:p>
            <w:r/>
            <w:r>
              <w:rPr>
                <w:color w:val="0F172A"/>
                <w:sz w:val="20"/>
              </w:rPr>
              <w:t>detection/attack_chain.py</w:t>
            </w:r>
          </w:p>
        </w:tc>
        <w:tc>
          <w:tcPr>
            <w:tcW w:type="dxa" w:w="5760"/>
            <w:shd w:val="clear" w:color="auto" w:fill="FFFFFF"/>
          </w:tcPr>
          <w:p>
            <w:r/>
            <w:r>
              <w:rPr>
                <w:color w:val="0F172A"/>
                <w:sz w:val="20"/>
              </w:rPr>
              <w:t>7-stage BEC attack kill-chain mapper with stage confidence annotation.</w:t>
            </w:r>
          </w:p>
        </w:tc>
      </w:tr>
      <w:tr>
        <w:tc>
          <w:tcPr>
            <w:tcW w:type="dxa" w:w="3456"/>
            <w:shd w:val="clear" w:color="auto" w:fill="F1F5F9"/>
          </w:tcPr>
          <w:p>
            <w:r/>
            <w:r>
              <w:rPr>
                <w:color w:val="0F172A"/>
                <w:sz w:val="20"/>
              </w:rPr>
              <w:t>detection/conversation_hijacking.py</w:t>
            </w:r>
          </w:p>
        </w:tc>
        <w:tc>
          <w:tcPr>
            <w:tcW w:type="dxa" w:w="5760"/>
            <w:shd w:val="clear" w:color="auto" w:fill="F1F5F9"/>
          </w:tcPr>
          <w:p>
            <w:r/>
            <w:r>
              <w:rPr>
                <w:color w:val="0F172A"/>
                <w:sz w:val="20"/>
              </w:rPr>
              <w:t>In-Reply-To / References thread continuity and Reply-To diversion detection.</w:t>
            </w:r>
          </w:p>
        </w:tc>
      </w:tr>
      <w:tr>
        <w:tc>
          <w:tcPr>
            <w:tcW w:type="dxa" w:w="3456"/>
            <w:shd w:val="clear" w:color="auto" w:fill="FFFFFF"/>
          </w:tcPr>
          <w:p>
            <w:r/>
            <w:r>
              <w:rPr>
                <w:color w:val="0F172A"/>
                <w:sz w:val="20"/>
              </w:rPr>
              <w:t>detection/risk_engine.py</w:t>
            </w:r>
          </w:p>
        </w:tc>
        <w:tc>
          <w:tcPr>
            <w:tcW w:type="dxa" w:w="5760"/>
            <w:shd w:val="clear" w:color="auto" w:fill="FFFFFF"/>
          </w:tcPr>
          <w:p>
            <w:r/>
            <w:r>
              <w:rPr>
                <w:color w:val="0F172A"/>
                <w:sz w:val="20"/>
              </w:rPr>
              <w:t>Weighted 11-component composite risk score, counterfactual simulation.</w:t>
            </w:r>
          </w:p>
        </w:tc>
      </w:tr>
      <w:tr>
        <w:tc>
          <w:tcPr>
            <w:tcW w:type="dxa" w:w="3456"/>
            <w:shd w:val="clear" w:color="auto" w:fill="F1F5F9"/>
          </w:tcPr>
          <w:p>
            <w:r/>
            <w:r>
              <w:rPr>
                <w:color w:val="0F172A"/>
                <w:sz w:val="20"/>
              </w:rPr>
              <w:t>reporting/pdf_report.py</w:t>
            </w:r>
          </w:p>
        </w:tc>
        <w:tc>
          <w:tcPr>
            <w:tcW w:type="dxa" w:w="5760"/>
            <w:shd w:val="clear" w:color="auto" w:fill="F1F5F9"/>
          </w:tcPr>
          <w:p>
            <w:r/>
            <w:r>
              <w:rPr>
                <w:color w:val="0F172A"/>
                <w:sz w:val="20"/>
              </w:rPr>
              <w:t>ReportLab multi-section court-admissible forensic PDF dossier generator.</w:t>
            </w:r>
          </w:p>
        </w:tc>
      </w:tr>
      <w:tr>
        <w:tc>
          <w:tcPr>
            <w:tcW w:type="dxa" w:w="3456"/>
            <w:shd w:val="clear" w:color="auto" w:fill="FFFFFF"/>
          </w:tcPr>
          <w:p>
            <w:r/>
            <w:r>
              <w:rPr>
                <w:color w:val="0F172A"/>
                <w:sz w:val="20"/>
              </w:rPr>
              <w:t>server/app.py</w:t>
            </w:r>
          </w:p>
        </w:tc>
        <w:tc>
          <w:tcPr>
            <w:tcW w:type="dxa" w:w="5760"/>
            <w:shd w:val="clear" w:color="auto" w:fill="FFFFFF"/>
          </w:tcPr>
          <w:p>
            <w:r/>
            <w:r>
              <w:rPr>
                <w:color w:val="0F172A"/>
                <w:sz w:val="20"/>
              </w:rPr>
              <w:t>FastAPI server: 14 HTML and JSON endpoints, file upload, batch intake, audit.</w:t>
            </w:r>
          </w:p>
        </w:tc>
      </w:tr>
      <w:tr>
        <w:tc>
          <w:tcPr>
            <w:tcW w:type="dxa" w:w="3456"/>
            <w:shd w:val="clear" w:color="auto" w:fill="F1F5F9"/>
          </w:tcPr>
          <w:p>
            <w:r/>
            <w:r>
              <w:rPr>
                <w:color w:val="0F172A"/>
                <w:sz w:val="20"/>
              </w:rPr>
              <w:t>analysis/orchestrator.py</w:t>
            </w:r>
          </w:p>
        </w:tc>
        <w:tc>
          <w:tcPr>
            <w:tcW w:type="dxa" w:w="5760"/>
            <w:shd w:val="clear" w:color="auto" w:fill="F1F5F9"/>
          </w:tcPr>
          <w:p>
            <w:r/>
            <w:r>
              <w:rPr>
                <w:color w:val="0F172A"/>
                <w:sz w:val="20"/>
              </w:rPr>
              <w:t>Master pipeline orchestrator: coordinates all analysis engines per email.</w:t>
            </w:r>
          </w:p>
        </w:tc>
      </w:tr>
      <w:tr>
        <w:tc>
          <w:tcPr>
            <w:tcW w:type="dxa" w:w="3456"/>
            <w:shd w:val="clear" w:color="auto" w:fill="FFFFFF"/>
          </w:tcPr>
          <w:p>
            <w:r/>
            <w:r>
              <w:rPr>
                <w:color w:val="0F172A"/>
                <w:sz w:val="20"/>
              </w:rPr>
              <w:t>database/db.py</w:t>
            </w:r>
          </w:p>
        </w:tc>
        <w:tc>
          <w:tcPr>
            <w:tcW w:type="dxa" w:w="5760"/>
            <w:shd w:val="clear" w:color="auto" w:fill="FFFFFF"/>
          </w:tcPr>
          <w:p>
            <w:r/>
            <w:r>
              <w:rPr>
                <w:color w:val="0F172A"/>
                <w:sz w:val="20"/>
              </w:rPr>
              <w:t>SQLite schema DDL, connection helpers, schema migration, evidence wipe.</w:t>
            </w:r>
          </w:p>
        </w:tc>
      </w:tr>
    </w:tbl>
    <w:p>
      <w:r>
        <w:br w:type="page"/>
      </w:r>
    </w:p>
    <w:p>
      <w:pPr>
        <w:spacing w:before="400" w:after="120"/>
      </w:pPr>
      <w:r>
        <w:rPr>
          <w:b/>
          <w:color w:val="1E3A5F"/>
          <w:sz w:val="32"/>
        </w:rPr>
        <w:t>3. Solution Requirement</w:t>
      </w:r>
    </w:p>
    <w:p>
      <w:pPr>
        <w:spacing w:before="200" w:after="80"/>
      </w:pPr>
      <w:r>
        <w:rPr>
          <w:b/>
          <w:color w:val="2C5F8A"/>
          <w:sz w:val="24"/>
        </w:rPr>
        <w:t>3.1 Functional Requirements</w:t>
      </w:r>
    </w:p>
    <w:tbl>
      <w:tblPr>
        <w:tblStyle w:val="TableGrid"/>
        <w:tblW w:type="auto" w:w="0"/>
        <w:tblLayout w:type="fixed"/>
        <w:tblLook w:firstColumn="1" w:firstRow="1" w:lastColumn="0" w:lastRow="0" w:noHBand="0" w:noVBand="1" w:val="04A0"/>
      </w:tblPr>
      <w:tblGrid>
        <w:gridCol w:w="4533"/>
        <w:gridCol w:w="4533"/>
      </w:tblGrid>
      <w:tr>
        <w:tc>
          <w:tcPr>
            <w:tcW w:type="dxa" w:w="864"/>
            <w:shd w:val="clear" w:color="auto" w:fill="1E3A5F"/>
          </w:tcPr>
          <w:p>
            <w:r/>
            <w:r>
              <w:rPr>
                <w:b/>
                <w:color w:val="FFFFFF"/>
                <w:sz w:val="20"/>
              </w:rPr>
              <w:t>ID</w:t>
            </w:r>
          </w:p>
        </w:tc>
        <w:tc>
          <w:tcPr>
            <w:tcW w:type="dxa" w:w="8352"/>
            <w:shd w:val="clear" w:color="auto" w:fill="1E3A5F"/>
          </w:tcPr>
          <w:p>
            <w:r/>
            <w:r>
              <w:rPr>
                <w:b/>
                <w:color w:val="FFFFFF"/>
                <w:sz w:val="20"/>
              </w:rPr>
              <w:t>Requirement</w:t>
            </w:r>
          </w:p>
        </w:tc>
      </w:tr>
      <w:tr>
        <w:tc>
          <w:tcPr>
            <w:tcW w:type="dxa" w:w="864"/>
            <w:shd w:val="clear" w:color="auto" w:fill="F1F5F9"/>
          </w:tcPr>
          <w:p>
            <w:r/>
            <w:r>
              <w:rPr>
                <w:color w:val="0F172A"/>
                <w:sz w:val="20"/>
              </w:rPr>
              <w:t>FR1</w:t>
            </w:r>
          </w:p>
        </w:tc>
        <w:tc>
          <w:tcPr>
            <w:tcW w:type="dxa" w:w="8352"/>
            <w:shd w:val="clear" w:color="auto" w:fill="F1F5F9"/>
          </w:tcPr>
          <w:p>
            <w:r/>
            <w:r>
              <w:rPr>
                <w:color w:val="0F172A"/>
                <w:sz w:val="20"/>
              </w:rPr>
              <w:t>Accept raw email evidence in .eml (single), .zip (bulk collection), and .mbox (mailbox export) formats.</w:t>
            </w:r>
          </w:p>
        </w:tc>
      </w:tr>
      <w:tr>
        <w:tc>
          <w:tcPr>
            <w:tcW w:type="dxa" w:w="864"/>
            <w:shd w:val="clear" w:color="auto" w:fill="FFFFFF"/>
          </w:tcPr>
          <w:p>
            <w:r/>
            <w:r>
              <w:rPr>
                <w:color w:val="0F172A"/>
                <w:sz w:val="20"/>
              </w:rPr>
              <w:t>FR2</w:t>
            </w:r>
          </w:p>
        </w:tc>
        <w:tc>
          <w:tcPr>
            <w:tcW w:type="dxa" w:w="8352"/>
            <w:shd w:val="clear" w:color="auto" w:fill="FFFFFF"/>
          </w:tcPr>
          <w:p>
            <w:r/>
            <w:r>
              <w:rPr>
                <w:color w:val="0F172A"/>
                <w:sz w:val="20"/>
              </w:rPr>
              <w:t>Compute SHA-256 digest of each evidence file immediately on ingestion and verify it against the on-disk copy before every read.</w:t>
            </w:r>
          </w:p>
        </w:tc>
      </w:tr>
      <w:tr>
        <w:tc>
          <w:tcPr>
            <w:tcW w:type="dxa" w:w="864"/>
            <w:shd w:val="clear" w:color="auto" w:fill="F1F5F9"/>
          </w:tcPr>
          <w:p>
            <w:r/>
            <w:r>
              <w:rPr>
                <w:color w:val="0F172A"/>
                <w:sz w:val="20"/>
              </w:rPr>
              <w:t>FR3</w:t>
            </w:r>
          </w:p>
        </w:tc>
        <w:tc>
          <w:tcPr>
            <w:tcW w:type="dxa" w:w="8352"/>
            <w:shd w:val="clear" w:color="auto" w:fill="F1F5F9"/>
          </w:tcPr>
          <w:p>
            <w:r/>
            <w:r>
              <w:rPr>
                <w:color w:val="0F172A"/>
                <w:sz w:val="20"/>
              </w:rPr>
              <w:t>Assign a unique sequential EVD-YYYY-NNNN docket identifier and store it in the chain-of-custody ledger.</w:t>
            </w:r>
          </w:p>
        </w:tc>
      </w:tr>
      <w:tr>
        <w:tc>
          <w:tcPr>
            <w:tcW w:type="dxa" w:w="864"/>
            <w:shd w:val="clear" w:color="auto" w:fill="FFFFFF"/>
          </w:tcPr>
          <w:p>
            <w:r/>
            <w:r>
              <w:rPr>
                <w:color w:val="0F172A"/>
                <w:sz w:val="20"/>
              </w:rPr>
              <w:t>FR4</w:t>
            </w:r>
          </w:p>
        </w:tc>
        <w:tc>
          <w:tcPr>
            <w:tcW w:type="dxa" w:w="8352"/>
            <w:shd w:val="clear" w:color="auto" w:fill="FFFFFF"/>
          </w:tcPr>
          <w:p>
            <w:r/>
            <w:r>
              <w:rPr>
                <w:color w:val="0F172A"/>
                <w:sz w:val="20"/>
              </w:rPr>
              <w:t>Store all evidence files in read-only mode (POSIX 0o444) in an immutable evidence vault.</w:t>
            </w:r>
          </w:p>
        </w:tc>
      </w:tr>
      <w:tr>
        <w:tc>
          <w:tcPr>
            <w:tcW w:type="dxa" w:w="864"/>
            <w:shd w:val="clear" w:color="auto" w:fill="F1F5F9"/>
          </w:tcPr>
          <w:p>
            <w:r/>
            <w:r>
              <w:rPr>
                <w:color w:val="0F172A"/>
                <w:sz w:val="20"/>
              </w:rPr>
              <w:t>FR5</w:t>
            </w:r>
          </w:p>
        </w:tc>
        <w:tc>
          <w:tcPr>
            <w:tcW w:type="dxa" w:w="8352"/>
            <w:shd w:val="clear" w:color="auto" w:fill="F1F5F9"/>
          </w:tcPr>
          <w:p>
            <w:r/>
            <w:r>
              <w:rPr>
                <w:color w:val="0F172A"/>
                <w:sz w:val="20"/>
              </w:rPr>
              <w:t>Parse all RFC-822 / MIME headers including Received, Authentication-Results, DKIM-Signature, ARC-*, and X-* extension headers.</w:t>
            </w:r>
          </w:p>
        </w:tc>
      </w:tr>
      <w:tr>
        <w:tc>
          <w:tcPr>
            <w:tcW w:type="dxa" w:w="864"/>
            <w:shd w:val="clear" w:color="auto" w:fill="FFFFFF"/>
          </w:tcPr>
          <w:p>
            <w:r/>
            <w:r>
              <w:rPr>
                <w:color w:val="0F172A"/>
                <w:sz w:val="20"/>
              </w:rPr>
              <w:t>FR6</w:t>
            </w:r>
          </w:p>
        </w:tc>
        <w:tc>
          <w:tcPr>
            <w:tcW w:type="dxa" w:w="8352"/>
            <w:shd w:val="clear" w:color="auto" w:fill="FFFFFF"/>
          </w:tcPr>
          <w:p>
            <w:r/>
            <w:r>
              <w:rPr>
                <w:color w:val="0F172A"/>
                <w:sz w:val="20"/>
              </w:rPr>
              <w:t>Verify SPF, DKIM, DMARC, and ARC authentication results and classify the identity threat hypothesis as POTENTIAL_SPOOFING, POSSIBLE_COMPROMISE, or BENIGN/NORMAL.</w:t>
            </w:r>
          </w:p>
        </w:tc>
      </w:tr>
      <w:tr>
        <w:tc>
          <w:tcPr>
            <w:tcW w:type="dxa" w:w="864"/>
            <w:shd w:val="clear" w:color="auto" w:fill="F1F5F9"/>
          </w:tcPr>
          <w:p>
            <w:r/>
            <w:r>
              <w:rPr>
                <w:color w:val="0F172A"/>
                <w:sz w:val="20"/>
              </w:rPr>
              <w:t>FR7</w:t>
            </w:r>
          </w:p>
        </w:tc>
        <w:tc>
          <w:tcPr>
            <w:tcW w:type="dxa" w:w="8352"/>
            <w:shd w:val="clear" w:color="auto" w:fill="F1F5F9"/>
          </w:tcPr>
          <w:p>
            <w:r/>
            <w:r>
              <w:rPr>
                <w:color w:val="0F172A"/>
                <w:sz w:val="20"/>
              </w:rPr>
              <w:t>Detect domain lookalikes using Levenshtein distance, homoglyph substitution, and typosquatting patterns.</w:t>
            </w:r>
          </w:p>
        </w:tc>
      </w:tr>
      <w:tr>
        <w:tc>
          <w:tcPr>
            <w:tcW w:type="dxa" w:w="864"/>
            <w:shd w:val="clear" w:color="auto" w:fill="FFFFFF"/>
          </w:tcPr>
          <w:p>
            <w:r/>
            <w:r>
              <w:rPr>
                <w:color w:val="0F172A"/>
                <w:sz w:val="20"/>
              </w:rPr>
              <w:t>FR8</w:t>
            </w:r>
          </w:p>
        </w:tc>
        <w:tc>
          <w:tcPr>
            <w:tcW w:type="dxa" w:w="8352"/>
            <w:shd w:val="clear" w:color="auto" w:fill="FFFFFF"/>
          </w:tcPr>
          <w:p>
            <w:r/>
            <w:r>
              <w:rPr>
                <w:color w:val="0F172A"/>
                <w:sz w:val="20"/>
              </w:rPr>
              <w:t>Reconstruct the chronological MTA hop trace from Received headers, classify each IP as RFC-1918 PRIVATE or PUBLIC, and flag transit delays exceeding 5 minutes.</w:t>
            </w:r>
          </w:p>
        </w:tc>
      </w:tr>
      <w:tr>
        <w:tc>
          <w:tcPr>
            <w:tcW w:type="dxa" w:w="864"/>
            <w:shd w:val="clear" w:color="auto" w:fill="F1F5F9"/>
          </w:tcPr>
          <w:p>
            <w:r/>
            <w:r>
              <w:rPr>
                <w:color w:val="0F172A"/>
                <w:sz w:val="20"/>
              </w:rPr>
              <w:t>FR9</w:t>
            </w:r>
          </w:p>
        </w:tc>
        <w:tc>
          <w:tcPr>
            <w:tcW w:type="dxa" w:w="8352"/>
            <w:shd w:val="clear" w:color="auto" w:fill="F1F5F9"/>
          </w:tcPr>
          <w:p>
            <w:r/>
            <w:r>
              <w:rPr>
                <w:color w:val="0F172A"/>
                <w:sz w:val="20"/>
              </w:rPr>
              <w:t>Maintain sender behavioural fingerprint profiles tracking typical sending hours, recipients, Reply-To routing, and authentication pass rates.</w:t>
            </w:r>
          </w:p>
        </w:tc>
      </w:tr>
      <w:tr>
        <w:tc>
          <w:tcPr>
            <w:tcW w:type="dxa" w:w="864"/>
            <w:shd w:val="clear" w:color="auto" w:fill="FFFFFF"/>
          </w:tcPr>
          <w:p>
            <w:r/>
            <w:r>
              <w:rPr>
                <w:color w:val="0F172A"/>
                <w:sz w:val="20"/>
              </w:rPr>
              <w:t>FR10</w:t>
            </w:r>
          </w:p>
        </w:tc>
        <w:tc>
          <w:tcPr>
            <w:tcW w:type="dxa" w:w="8352"/>
            <w:shd w:val="clear" w:color="auto" w:fill="FFFFFF"/>
          </w:tcPr>
          <w:p>
            <w:r/>
            <w:r>
              <w:rPr>
                <w:color w:val="0F172A"/>
                <w:sz w:val="20"/>
              </w:rPr>
              <w:t>Detect identity drift between the current email and the historical sender profile using Z-score statistical deviation.</w:t>
            </w:r>
          </w:p>
        </w:tc>
      </w:tr>
      <w:tr>
        <w:tc>
          <w:tcPr>
            <w:tcW w:type="dxa" w:w="864"/>
            <w:shd w:val="clear" w:color="auto" w:fill="F1F5F9"/>
          </w:tcPr>
          <w:p>
            <w:r/>
            <w:r>
              <w:rPr>
                <w:color w:val="0F172A"/>
                <w:sz w:val="20"/>
              </w:rPr>
              <w:t>FR11</w:t>
            </w:r>
          </w:p>
        </w:tc>
        <w:tc>
          <w:tcPr>
            <w:tcW w:type="dxa" w:w="8352"/>
            <w:shd w:val="clear" w:color="auto" w:fill="F1F5F9"/>
          </w:tcPr>
          <w:p>
            <w:r/>
            <w:r>
              <w:rPr>
                <w:color w:val="0F172A"/>
                <w:sz w:val="20"/>
              </w:rPr>
              <w:t>Build a directed communication graph and flag first-time sender–recipient relationships as BEC indicators.</w:t>
            </w:r>
          </w:p>
        </w:tc>
      </w:tr>
      <w:tr>
        <w:tc>
          <w:tcPr>
            <w:tcW w:type="dxa" w:w="864"/>
            <w:shd w:val="clear" w:color="auto" w:fill="FFFFFF"/>
          </w:tcPr>
          <w:p>
            <w:r/>
            <w:r>
              <w:rPr>
                <w:color w:val="0F172A"/>
                <w:sz w:val="20"/>
              </w:rPr>
              <w:t>FR12</w:t>
            </w:r>
          </w:p>
        </w:tc>
        <w:tc>
          <w:tcPr>
            <w:tcW w:type="dxa" w:w="8352"/>
            <w:shd w:val="clear" w:color="auto" w:fill="FFFFFF"/>
          </w:tcPr>
          <w:p>
            <w:r/>
            <w:r>
              <w:rPr>
                <w:color w:val="0F172A"/>
                <w:sz w:val="20"/>
              </w:rPr>
              <w:t>Reconstruct a 7-stage BEC attack kill-chain from a sequence of related emails and annotate each stage as CONFIRMED or ABSENT.</w:t>
            </w:r>
          </w:p>
        </w:tc>
      </w:tr>
      <w:tr>
        <w:tc>
          <w:tcPr>
            <w:tcW w:type="dxa" w:w="864"/>
            <w:shd w:val="clear" w:color="auto" w:fill="F1F5F9"/>
          </w:tcPr>
          <w:p>
            <w:r/>
            <w:r>
              <w:rPr>
                <w:color w:val="0F172A"/>
                <w:sz w:val="20"/>
              </w:rPr>
              <w:t>FR13</w:t>
            </w:r>
          </w:p>
        </w:tc>
        <w:tc>
          <w:tcPr>
            <w:tcW w:type="dxa" w:w="8352"/>
            <w:shd w:val="clear" w:color="auto" w:fill="F1F5F9"/>
          </w:tcPr>
          <w:p>
            <w:r/>
            <w:r>
              <w:rPr>
                <w:color w:val="0F172A"/>
                <w:sz w:val="20"/>
              </w:rPr>
              <w:t>Detect conversation hijacking by analysing In-Reply-To and References header continuity combined with financial redirection language.</w:t>
            </w:r>
          </w:p>
        </w:tc>
      </w:tr>
      <w:tr>
        <w:tc>
          <w:tcPr>
            <w:tcW w:type="dxa" w:w="864"/>
            <w:shd w:val="clear" w:color="auto" w:fill="FFFFFF"/>
          </w:tcPr>
          <w:p>
            <w:r/>
            <w:r>
              <w:rPr>
                <w:color w:val="0F172A"/>
                <w:sz w:val="20"/>
              </w:rPr>
              <w:t>FR14</w:t>
            </w:r>
          </w:p>
        </w:tc>
        <w:tc>
          <w:tcPr>
            <w:tcW w:type="dxa" w:w="8352"/>
            <w:shd w:val="clear" w:color="auto" w:fill="FFFFFF"/>
          </w:tcPr>
          <w:p>
            <w:r/>
            <w:r>
              <w:rPr>
                <w:color w:val="0F172A"/>
                <w:sz w:val="20"/>
              </w:rPr>
              <w:t>Generate a composite BEC risk score (0–100) from 11 weighted forensic components.</w:t>
            </w:r>
          </w:p>
        </w:tc>
      </w:tr>
      <w:tr>
        <w:tc>
          <w:tcPr>
            <w:tcW w:type="dxa" w:w="864"/>
            <w:shd w:val="clear" w:color="auto" w:fill="F1F5F9"/>
          </w:tcPr>
          <w:p>
            <w:r/>
            <w:r>
              <w:rPr>
                <w:color w:val="0F172A"/>
                <w:sz w:val="20"/>
              </w:rPr>
              <w:t>FR15</w:t>
            </w:r>
          </w:p>
        </w:tc>
        <w:tc>
          <w:tcPr>
            <w:tcW w:type="dxa" w:w="8352"/>
            <w:shd w:val="clear" w:color="auto" w:fill="F1F5F9"/>
          </w:tcPr>
          <w:p>
            <w:r/>
            <w:r>
              <w:rPr>
                <w:color w:val="0F172A"/>
                <w:sz w:val="20"/>
              </w:rPr>
              <w:t>Generate counterfactual explanations showing how each risk factor contributes to the total score.</w:t>
            </w:r>
          </w:p>
        </w:tc>
      </w:tr>
      <w:tr>
        <w:tc>
          <w:tcPr>
            <w:tcW w:type="dxa" w:w="864"/>
            <w:shd w:val="clear" w:color="auto" w:fill="FFFFFF"/>
          </w:tcPr>
          <w:p>
            <w:r/>
            <w:r>
              <w:rPr>
                <w:color w:val="0F172A"/>
                <w:sz w:val="20"/>
              </w:rPr>
              <w:t>FR16</w:t>
            </w:r>
          </w:p>
        </w:tc>
        <w:tc>
          <w:tcPr>
            <w:tcW w:type="dxa" w:w="8352"/>
            <w:shd w:val="clear" w:color="auto" w:fill="FFFFFF"/>
          </w:tcPr>
          <w:p>
            <w:r/>
            <w:r>
              <w:rPr>
                <w:color w:val="0F172A"/>
                <w:sz w:val="20"/>
              </w:rPr>
              <w:t>Export a court-admissible forensic PDF dossier with full chain-of-custody, findings, and risk breakdown.</w:t>
            </w:r>
          </w:p>
        </w:tc>
      </w:tr>
      <w:tr>
        <w:tc>
          <w:tcPr>
            <w:tcW w:type="dxa" w:w="864"/>
            <w:shd w:val="clear" w:color="auto" w:fill="F1F5F9"/>
          </w:tcPr>
          <w:p>
            <w:r/>
            <w:r>
              <w:rPr>
                <w:color w:val="0F172A"/>
                <w:sz w:val="20"/>
              </w:rPr>
              <w:t>FR17</w:t>
            </w:r>
          </w:p>
        </w:tc>
        <w:tc>
          <w:tcPr>
            <w:tcW w:type="dxa" w:w="8352"/>
            <w:shd w:val="clear" w:color="auto" w:fill="F1F5F9"/>
          </w:tcPr>
          <w:p>
            <w:r/>
            <w:r>
              <w:rPr>
                <w:color w:val="0F172A"/>
                <w:sz w:val="20"/>
              </w:rPr>
              <w:t>Provide a web-based forensic console with dashboard, evidence acquisition, dossier inspection, sender intelligence, communication graph, and findings log views.</w:t>
            </w:r>
          </w:p>
        </w:tc>
      </w:tr>
      <w:tr>
        <w:tc>
          <w:tcPr>
            <w:tcW w:type="dxa" w:w="864"/>
            <w:shd w:val="clear" w:color="auto" w:fill="FFFFFF"/>
          </w:tcPr>
          <w:p>
            <w:r/>
            <w:r>
              <w:rPr>
                <w:color w:val="0F172A"/>
                <w:sz w:val="20"/>
              </w:rPr>
              <w:t>FR18</w:t>
            </w:r>
          </w:p>
        </w:tc>
        <w:tc>
          <w:tcPr>
            <w:tcW w:type="dxa" w:w="8352"/>
            <w:shd w:val="clear" w:color="auto" w:fill="FFFFFF"/>
          </w:tcPr>
          <w:p>
            <w:r/>
            <w:r>
              <w:rPr>
                <w:color w:val="0F172A"/>
                <w:sz w:val="20"/>
              </w:rPr>
              <w:t>Provide a REST API for programmatic evidence submission and analysis retrieval.</w:t>
            </w:r>
          </w:p>
        </w:tc>
      </w:tr>
    </w:tbl>
    <w:p>
      <w:pPr>
        <w:spacing w:before="200" w:after="80"/>
      </w:pPr>
      <w:r>
        <w:rPr>
          <w:b/>
          <w:color w:val="2C5F8A"/>
          <w:sz w:val="24"/>
        </w:rPr>
        <w:t>3.2 Non-Functional Requirements</w:t>
      </w:r>
    </w:p>
    <w:p>
      <w:pPr>
        <w:pStyle w:val="ListBullet"/>
        <w:spacing w:before="20" w:after="60"/>
      </w:pPr>
      <w:r>
        <w:rPr>
          <w:color w:val="0F172A"/>
          <w:sz w:val="22"/>
        </w:rPr>
        <w:t>ISO/IEC 27037 Compliance: All evidence ingested must be cryptographically sealed and stored read-only; no evidence file must be modified or deleted by the system during analysis.</w:t>
      </w:r>
    </w:p>
    <w:p>
      <w:pPr>
        <w:pStyle w:val="ListBullet"/>
        <w:spacing w:before="20" w:after="60"/>
      </w:pPr>
      <w:r>
        <w:rPr>
          <w:color w:val="0F172A"/>
          <w:sz w:val="22"/>
        </w:rPr>
        <w:t>Complete Offline Operation: Zero external API calls, zero cloud telemetry, zero online dependencies. Fully functional on an air-gapped forensic workstation.</w:t>
      </w:r>
    </w:p>
    <w:p>
      <w:pPr>
        <w:pStyle w:val="ListBullet"/>
        <w:spacing w:before="20" w:after="60"/>
      </w:pPr>
      <w:r>
        <w:rPr>
          <w:color w:val="0F172A"/>
          <w:sz w:val="22"/>
        </w:rPr>
        <w:t>Explainability: Every risk score, finding, and verdict must be traceable to specific header fields, weighted scoring components, and counterfactual estimates.</w:t>
      </w:r>
    </w:p>
    <w:p>
      <w:pPr>
        <w:pStyle w:val="ListBullet"/>
        <w:spacing w:before="20" w:after="60"/>
      </w:pPr>
      <w:r>
        <w:rPr>
          <w:color w:val="0F172A"/>
          <w:sz w:val="22"/>
        </w:rPr>
        <w:t>Determinism: Given the same input bytes, the analysis must produce identical results on every run. No stochastic or probabilistic elements.</w:t>
      </w:r>
    </w:p>
    <w:p>
      <w:pPr>
        <w:pStyle w:val="ListBullet"/>
        <w:spacing w:before="20" w:after="60"/>
      </w:pPr>
      <w:r>
        <w:rPr>
          <w:color w:val="0F172A"/>
          <w:sz w:val="22"/>
        </w:rPr>
        <w:t>Portability: The system must run on any machine with Python 3.11 and the declared dependencies, with a single-file SQLite database.</w:t>
      </w:r>
    </w:p>
    <w:p>
      <w:pPr>
        <w:pStyle w:val="ListBullet"/>
        <w:spacing w:before="20" w:after="60"/>
      </w:pPr>
      <w:r>
        <w:rPr>
          <w:color w:val="0F172A"/>
          <w:sz w:val="22"/>
        </w:rPr>
        <w:t>Performance: Each email must be fully analysed (all engines) within 3 seconds on a standard workstation.</w:t>
      </w:r>
    </w:p>
    <w:p>
      <w:pPr>
        <w:pStyle w:val="ListBullet"/>
        <w:spacing w:before="20" w:after="60"/>
      </w:pPr>
      <w:r>
        <w:rPr>
          <w:color w:val="0F172A"/>
          <w:sz w:val="22"/>
        </w:rPr>
        <w:t>Test Coverage: All forensic engine modules must be covered by unit and integration tests using isolated in-memory databases.</w:t>
      </w:r>
    </w:p>
    <w:p>
      <w:pPr>
        <w:spacing w:before="200" w:after="80"/>
      </w:pPr>
      <w:r>
        <w:rPr>
          <w:b/>
          <w:color w:val="2C5F8A"/>
          <w:sz w:val="24"/>
        </w:rPr>
        <w:t>3.3 Operational Constraints</w:t>
      </w:r>
    </w:p>
    <w:p>
      <w:pPr>
        <w:pStyle w:val="ListBullet"/>
        <w:spacing w:before="20" w:after="60"/>
      </w:pPr>
      <w:r>
        <w:rPr>
          <w:color w:val="0F172A"/>
          <w:sz w:val="22"/>
        </w:rPr>
        <w:t>Python 3.11 runtime required.</w:t>
      </w:r>
    </w:p>
    <w:p>
      <w:pPr>
        <w:pStyle w:val="ListBullet"/>
        <w:spacing w:before="20" w:after="60"/>
      </w:pPr>
      <w:r>
        <w:rPr>
          <w:color w:val="0F172A"/>
          <w:sz w:val="22"/>
        </w:rPr>
        <w:t>SQLite database (bec_forge.db) is a single-file portable database; no external database server is needed.</w:t>
      </w:r>
    </w:p>
    <w:p>
      <w:pPr>
        <w:pStyle w:val="ListBullet"/>
        <w:spacing w:before="20" w:after="60"/>
      </w:pPr>
      <w:r>
        <w:rPr>
          <w:color w:val="0F172A"/>
          <w:sz w:val="22"/>
        </w:rPr>
        <w:t>The platform does not decrypt TLS-encrypted email payloads; analysis is limited to RFC-822 headers, body plain-text, and metadata.</w:t>
      </w:r>
    </w:p>
    <w:p>
      <w:pPr>
        <w:pStyle w:val="ListBullet"/>
        <w:spacing w:before="20" w:after="60"/>
      </w:pPr>
      <w:r>
        <w:rPr>
          <w:color w:val="0F172A"/>
          <w:sz w:val="22"/>
        </w:rPr>
        <w:t>Domain lookalike scoring uses Levenshtein distance; it does not perform live DNS lookups or WHOIS queries.</w:t>
      </w:r>
    </w:p>
    <w:p>
      <w:pPr>
        <w:pStyle w:val="ListBullet"/>
        <w:spacing w:before="20" w:after="60"/>
      </w:pPr>
      <w:r>
        <w:rPr>
          <w:color w:val="0F172A"/>
          <w:sz w:val="22"/>
        </w:rPr>
        <w:t>Sender fingerprinting is only meaningful when multiple emails from the same sender have been ingested; the first email always establishes a new baseline.</w:t>
      </w:r>
    </w:p>
    <w:p>
      <w:r>
        <w:br w:type="page"/>
      </w:r>
    </w:p>
    <w:p>
      <w:pPr>
        <w:spacing w:before="400" w:after="120"/>
      </w:pPr>
      <w:r>
        <w:rPr>
          <w:b/>
          <w:color w:val="1E3A5F"/>
          <w:sz w:val="32"/>
        </w:rPr>
        <w:t>4. Solution Proposed</w:t>
      </w:r>
    </w:p>
    <w:p>
      <w:pPr>
        <w:spacing w:before="200" w:after="80"/>
      </w:pPr>
      <w:r>
        <w:rPr>
          <w:b/>
          <w:color w:val="2C5F8A"/>
          <w:sz w:val="24"/>
        </w:rPr>
        <w:t>4.1 End-to-End Forensic Pipeline</w:t>
      </w:r>
    </w:p>
    <w:p>
      <w:pPr>
        <w:spacing w:before="40" w:after="80" w:line="360" w:lineRule="auto"/>
      </w:pPr>
      <w:r>
        <w:rPr>
          <w:color w:val="0F172A"/>
          <w:sz w:val="22"/>
        </w:rPr>
        <w:t>BEC-FORGE implements a sequential, modular forensic pipeline. Each stage receives the output of the previous stage and enriches it with additional forensic findings before passing it to the next. The pipeline is orchestrated by analysis/orchestrator.py and can be invoked programmatically via the REST API or through the web console.</w:t>
      </w:r>
    </w:p>
    <w:p>
      <w:pPr>
        <w:spacing w:before="40" w:after="80" w:line="360" w:lineRule="auto"/>
      </w:pPr>
      <w:r>
        <w:rPr>
          <w:color w:val="0F172A"/>
          <w:sz w:val="22"/>
        </w:rPr>
        <w:t>Stage 1 (Acquisition): Raw bytes → SHA-256 hash → Read-only vault → EVD docket.</w:t>
        <w:br/>
        <w:t>Stage 2 (Parsing): Raw bytes → RFC-822 parse → Structured ParsedEmail dataclass.</w:t>
        <w:br/>
        <w:t>Stage 3 (Analysis): Parallel execution of auth, domain, header, routing, and NLP engines.</w:t>
        <w:br/>
        <w:t>Stage 4 (Behavioural): Fingerprint lookup → Z-score drift → Findings generation.</w:t>
        <w:br/>
        <w:t>Stage 5 (Graph): Edge registration → Relationship anomaly detection → Graph update.</w:t>
        <w:br/>
        <w:t>Stage 6 (Kill-Chain): Stage evidence map → 7-stage progression → Attack chain annotation.</w:t>
        <w:br/>
        <w:t>Stage 7 (Risk): 11-component weighted sum → Counterfactuals → RiskAssessment dataclass.</w:t>
        <w:br/>
        <w:t>Stage 8 (Persistence): All results serialised to SQLite for dashboard and PDF generation.</w:t>
      </w:r>
    </w:p>
    <w:p>
      <w:pPr>
        <w:spacing w:before="200" w:after="80"/>
      </w:pPr>
      <w:r>
        <w:rPr>
          <w:b/>
          <w:color w:val="2C5F8A"/>
          <w:sz w:val="24"/>
        </w:rPr>
        <w:t>4.2 Core Innovation #1 — Sender Identity Fingerprinting &amp; Drift Engine</w:t>
      </w:r>
    </w:p>
    <w:p>
      <w:pPr>
        <w:spacing w:before="40" w:after="80" w:line="360" w:lineRule="auto"/>
      </w:pPr>
      <w:r>
        <w:rPr>
          <w:color w:val="0F172A"/>
          <w:sz w:val="22"/>
        </w:rPr>
        <w:t>Most BEC detection tools look at individual emails in isolation. BEC-FORGE maintains a persistent sender fingerprint profile for every email address seen. For each sender, the profile records: typical UTC sending hours, frequent recipients and their contact frequency, known Reply-To and Return-Path addresses, common display names and domains, and average NLP urgency and financial scores.</w:t>
      </w:r>
    </w:p>
    <w:p>
      <w:pPr>
        <w:spacing w:before="40" w:after="80" w:line="360" w:lineRule="auto"/>
      </w:pPr>
      <w:r>
        <w:rPr>
          <w:color w:val="0F172A"/>
          <w:sz w:val="22"/>
        </w:rPr>
        <w:t>When a new email arrives from a known sender, the drift engine computes a Z-score for each profile dimension and combines them into an Identity Drift Score (0–100). This enables detection of compromised accounts even when SPF, DKIM, and DMARC all pass — a scenario that defeats all signature-based detection tools.</w:t>
      </w:r>
    </w:p>
    <w:p>
      <w:pPr>
        <w:spacing w:before="200" w:after="80"/>
      </w:pPr>
      <w:r>
        <w:rPr>
          <w:b/>
          <w:color w:val="2C5F8A"/>
          <w:sz w:val="24"/>
        </w:rPr>
        <w:t>4.3 Core Innovation #2 — Interactive Communication Graph</w:t>
      </w:r>
    </w:p>
    <w:p>
      <w:pPr>
        <w:spacing w:before="40" w:after="80" w:line="360" w:lineRule="auto"/>
      </w:pPr>
      <w:r>
        <w:rPr>
          <w:color w:val="0F172A"/>
          <w:sz w:val="22"/>
        </w:rPr>
        <w:t>BEC-FORGE builds a directed communication graph where every email address is a node and every email sent is a directed edge. The graph is constructed using NetworkX and rendered interactively using Cytoscape.js at the /graph endpoint.</w:t>
      </w:r>
    </w:p>
    <w:p>
      <w:pPr>
        <w:spacing w:before="40" w:after="80" w:line="360" w:lineRule="auto"/>
      </w:pPr>
      <w:r>
        <w:rPr>
          <w:color w:val="0F172A"/>
          <w:sz w:val="22"/>
        </w:rPr>
        <w:t>The key forensic capability is first-time relationship detection: when a sender contacts a recipient for the first time in the investigation's database, the edge is flagged as NEW_RELATIONSHIP. This is a critical BEC indicator — attackers almost always contact new targets rather than established communication partners.</w:t>
      </w:r>
    </w:p>
    <w:p>
      <w:pPr>
        <w:spacing w:before="200" w:after="80"/>
      </w:pPr>
      <w:r>
        <w:rPr>
          <w:b/>
          <w:color w:val="2C5F8A"/>
          <w:sz w:val="24"/>
        </w:rPr>
        <w:t>4.4 Core Innovation #3 — Multi-Layer Identity Consistency Engine</w:t>
      </w:r>
    </w:p>
    <w:p>
      <w:pPr>
        <w:spacing w:before="40" w:after="80" w:line="360" w:lineRule="auto"/>
      </w:pPr>
      <w:r>
        <w:rPr>
          <w:color w:val="0F172A"/>
          <w:sz w:val="22"/>
        </w:rPr>
        <w:t>The identity consistency engine combines four cryptographic authentication checks (SPF, DKIM, DMARC, ARC) with domain-level heuristics (From domain vs. Reply-To domain vs. Return-Path domain) and display-name analysis. It computes an Identity Consistency Score (0–100) where 100 represents complete cryptographic authentication and domain alignment.</w:t>
      </w:r>
    </w:p>
    <w:p>
      <w:pPr>
        <w:spacing w:before="40" w:after="80" w:line="360" w:lineRule="auto"/>
      </w:pPr>
      <w:r>
        <w:rPr>
          <w:color w:val="0F172A"/>
          <w:sz w:val="22"/>
        </w:rPr>
        <w:t>The engine distinguishes two threat hypotheses: POTENTIAL_SPOOFING (authentication failures, domain mismatches — the attacker is impersonating from an external server) versus POSSIBLE_COMPROMISE (authentication passes but behavioural anomalies are present — a real account has been hacked).</w:t>
      </w:r>
    </w:p>
    <w:p>
      <w:pPr>
        <w:spacing w:before="200" w:after="80"/>
      </w:pPr>
      <w:r>
        <w:rPr>
          <w:b/>
          <w:color w:val="2C5F8A"/>
          <w:sz w:val="24"/>
        </w:rPr>
        <w:t>4.5 Core Innovation #4 — BEC Attack Kill-Chain Reconstruction</w:t>
      </w:r>
    </w:p>
    <w:p>
      <w:pPr>
        <w:spacing w:before="40" w:after="80" w:line="360" w:lineRule="auto"/>
      </w:pPr>
      <w:r>
        <w:rPr>
          <w:color w:val="0F172A"/>
          <w:sz w:val="22"/>
        </w:rPr>
        <w:t>BEC-FORGE implements a 7-stage kill-chain model derived from documented FBI IC3 BEC attack patterns. Each stage is evaluated independently against the current email's forensic evidence:</w:t>
      </w:r>
    </w:p>
    <w:tbl>
      <w:tblPr>
        <w:tblStyle w:val="TableGrid"/>
        <w:tblW w:type="auto" w:w="0"/>
        <w:tblLayout w:type="fixed"/>
        <w:tblLook w:firstColumn="1" w:firstRow="1" w:lastColumn="0" w:lastRow="0" w:noHBand="0" w:noVBand="1" w:val="04A0"/>
      </w:tblPr>
      <w:tblGrid>
        <w:gridCol w:w="3022"/>
        <w:gridCol w:w="3022"/>
        <w:gridCol w:w="3022"/>
      </w:tblGrid>
      <w:tr>
        <w:tc>
          <w:tcPr>
            <w:tcW w:type="dxa" w:w="720"/>
            <w:shd w:val="clear" w:color="auto" w:fill="1E3A5F"/>
          </w:tcPr>
          <w:p>
            <w:r/>
            <w:r>
              <w:rPr>
                <w:b/>
                <w:color w:val="FFFFFF"/>
                <w:sz w:val="20"/>
              </w:rPr>
              <w:t>Stage</w:t>
            </w:r>
          </w:p>
        </w:tc>
        <w:tc>
          <w:tcPr>
            <w:tcW w:type="dxa" w:w="2592"/>
            <w:shd w:val="clear" w:color="auto" w:fill="1E3A5F"/>
          </w:tcPr>
          <w:p>
            <w:r/>
            <w:r>
              <w:rPr>
                <w:b/>
                <w:color w:val="FFFFFF"/>
                <w:sz w:val="20"/>
              </w:rPr>
              <w:t>Name</w:t>
            </w:r>
          </w:p>
        </w:tc>
        <w:tc>
          <w:tcPr>
            <w:tcW w:type="dxa" w:w="5904"/>
            <w:shd w:val="clear" w:color="auto" w:fill="1E3A5F"/>
          </w:tcPr>
          <w:p>
            <w:r/>
            <w:r>
              <w:rPr>
                <w:b/>
                <w:color w:val="FFFFFF"/>
                <w:sz w:val="20"/>
              </w:rPr>
              <w:t>Detection Method</w:t>
            </w:r>
          </w:p>
        </w:tc>
      </w:tr>
      <w:tr>
        <w:tc>
          <w:tcPr>
            <w:tcW w:type="dxa" w:w="720"/>
            <w:shd w:val="clear" w:color="auto" w:fill="F1F5F9"/>
          </w:tcPr>
          <w:p>
            <w:r/>
            <w:r>
              <w:rPr>
                <w:color w:val="0F172A"/>
                <w:sz w:val="20"/>
              </w:rPr>
              <w:t>1</w:t>
            </w:r>
          </w:p>
        </w:tc>
        <w:tc>
          <w:tcPr>
            <w:tcW w:type="dxa" w:w="2592"/>
            <w:shd w:val="clear" w:color="auto" w:fill="F1F5F9"/>
          </w:tcPr>
          <w:p>
            <w:r/>
            <w:r>
              <w:rPr>
                <w:color w:val="0F172A"/>
                <w:sz w:val="20"/>
              </w:rPr>
              <w:t>Normal Trust Baseline</w:t>
            </w:r>
          </w:p>
        </w:tc>
        <w:tc>
          <w:tcPr>
            <w:tcW w:type="dxa" w:w="5904"/>
            <w:shd w:val="clear" w:color="auto" w:fill="F1F5F9"/>
          </w:tcPr>
          <w:p>
            <w:r/>
            <w:r>
              <w:rPr>
                <w:color w:val="0F172A"/>
                <w:sz w:val="20"/>
              </w:rPr>
              <w:t>Auth score &lt; 30 (cryptographic trust established)</w:t>
            </w:r>
          </w:p>
        </w:tc>
      </w:tr>
      <w:tr>
        <w:tc>
          <w:tcPr>
            <w:tcW w:type="dxa" w:w="720"/>
            <w:shd w:val="clear" w:color="auto" w:fill="FFFFFF"/>
          </w:tcPr>
          <w:p>
            <w:r/>
            <w:r>
              <w:rPr>
                <w:color w:val="0F172A"/>
                <w:sz w:val="20"/>
              </w:rPr>
              <w:t>2</w:t>
            </w:r>
          </w:p>
        </w:tc>
        <w:tc>
          <w:tcPr>
            <w:tcW w:type="dxa" w:w="2592"/>
            <w:shd w:val="clear" w:color="auto" w:fill="FFFFFF"/>
          </w:tcPr>
          <w:p>
            <w:r/>
            <w:r>
              <w:rPr>
                <w:color w:val="0F172A"/>
                <w:sz w:val="20"/>
              </w:rPr>
              <w:t>Behavioural Deviation</w:t>
            </w:r>
          </w:p>
        </w:tc>
        <w:tc>
          <w:tcPr>
            <w:tcW w:type="dxa" w:w="5904"/>
            <w:shd w:val="clear" w:color="auto" w:fill="FFFFFF"/>
          </w:tcPr>
          <w:p>
            <w:r/>
            <w:r>
              <w:rPr>
                <w:color w:val="0F172A"/>
                <w:sz w:val="20"/>
              </w:rPr>
              <w:t>Drift score ≥ 25 OR unusual sending hour detected</w:t>
            </w:r>
          </w:p>
        </w:tc>
      </w:tr>
      <w:tr>
        <w:tc>
          <w:tcPr>
            <w:tcW w:type="dxa" w:w="720"/>
            <w:shd w:val="clear" w:color="auto" w:fill="F1F5F9"/>
          </w:tcPr>
          <w:p>
            <w:r/>
            <w:r>
              <w:rPr>
                <w:color w:val="0F172A"/>
                <w:sz w:val="20"/>
              </w:rPr>
              <w:t>3</w:t>
            </w:r>
          </w:p>
        </w:tc>
        <w:tc>
          <w:tcPr>
            <w:tcW w:type="dxa" w:w="2592"/>
            <w:shd w:val="clear" w:color="auto" w:fill="F1F5F9"/>
          </w:tcPr>
          <w:p>
            <w:r/>
            <w:r>
              <w:rPr>
                <w:color w:val="0F172A"/>
                <w:sz w:val="20"/>
              </w:rPr>
              <w:t>New Entity / Recipient Injection</w:t>
            </w:r>
          </w:p>
        </w:tc>
        <w:tc>
          <w:tcPr>
            <w:tcW w:type="dxa" w:w="5904"/>
            <w:shd w:val="clear" w:color="auto" w:fill="F1F5F9"/>
          </w:tcPr>
          <w:p>
            <w:r/>
            <w:r>
              <w:rPr>
                <w:color w:val="0F172A"/>
                <w:sz w:val="20"/>
              </w:rPr>
              <w:t>Communication graph NEW_RELATIONSHIP flag OR Reply-To mismatch</w:t>
            </w:r>
          </w:p>
        </w:tc>
      </w:tr>
      <w:tr>
        <w:tc>
          <w:tcPr>
            <w:tcW w:type="dxa" w:w="720"/>
            <w:shd w:val="clear" w:color="auto" w:fill="FFFFFF"/>
          </w:tcPr>
          <w:p>
            <w:r/>
            <w:r>
              <w:rPr>
                <w:color w:val="0F172A"/>
                <w:sz w:val="20"/>
              </w:rPr>
              <w:t>4</w:t>
            </w:r>
          </w:p>
        </w:tc>
        <w:tc>
          <w:tcPr>
            <w:tcW w:type="dxa" w:w="2592"/>
            <w:shd w:val="clear" w:color="auto" w:fill="FFFFFF"/>
          </w:tcPr>
          <w:p>
            <w:r/>
            <w:r>
              <w:rPr>
                <w:color w:val="0F172A"/>
                <w:sz w:val="20"/>
              </w:rPr>
              <w:t>Executive Impersonation</w:t>
            </w:r>
          </w:p>
        </w:tc>
        <w:tc>
          <w:tcPr>
            <w:tcW w:type="dxa" w:w="5904"/>
            <w:shd w:val="clear" w:color="auto" w:fill="FFFFFF"/>
          </w:tcPr>
          <w:p>
            <w:r/>
            <w:r>
              <w:rPr>
                <w:color w:val="0F172A"/>
                <w:sz w:val="20"/>
              </w:rPr>
              <w:t>CEO/CFO/Director title in From/Subject + authority NLP vector</w:t>
            </w:r>
          </w:p>
        </w:tc>
      </w:tr>
      <w:tr>
        <w:tc>
          <w:tcPr>
            <w:tcW w:type="dxa" w:w="720"/>
            <w:shd w:val="clear" w:color="auto" w:fill="F1F5F9"/>
          </w:tcPr>
          <w:p>
            <w:r/>
            <w:r>
              <w:rPr>
                <w:color w:val="0F172A"/>
                <w:sz w:val="20"/>
              </w:rPr>
              <w:t>5</w:t>
            </w:r>
          </w:p>
        </w:tc>
        <w:tc>
          <w:tcPr>
            <w:tcW w:type="dxa" w:w="2592"/>
            <w:shd w:val="clear" w:color="auto" w:fill="F1F5F9"/>
          </w:tcPr>
          <w:p>
            <w:r/>
            <w:r>
              <w:rPr>
                <w:color w:val="0F172A"/>
                <w:sz w:val="20"/>
              </w:rPr>
              <w:t>Urgency &amp; Confidentiality Mandate</w:t>
            </w:r>
          </w:p>
        </w:tc>
        <w:tc>
          <w:tcPr>
            <w:tcW w:type="dxa" w:w="5904"/>
            <w:shd w:val="clear" w:color="auto" w:fill="F1F5F9"/>
          </w:tcPr>
          <w:p>
            <w:r/>
            <w:r>
              <w:rPr>
                <w:color w:val="0F172A"/>
                <w:sz w:val="20"/>
              </w:rPr>
              <w:t>Urgency NLP score &gt; 0.2 + secrecy NLP vector &gt; 0.1</w:t>
            </w:r>
          </w:p>
        </w:tc>
      </w:tr>
      <w:tr>
        <w:tc>
          <w:tcPr>
            <w:tcW w:type="dxa" w:w="720"/>
            <w:shd w:val="clear" w:color="auto" w:fill="FFFFFF"/>
          </w:tcPr>
          <w:p>
            <w:r/>
            <w:r>
              <w:rPr>
                <w:color w:val="0F172A"/>
                <w:sz w:val="20"/>
              </w:rPr>
              <w:t>6</w:t>
            </w:r>
          </w:p>
        </w:tc>
        <w:tc>
          <w:tcPr>
            <w:tcW w:type="dxa" w:w="2592"/>
            <w:shd w:val="clear" w:color="auto" w:fill="FFFFFF"/>
          </w:tcPr>
          <w:p>
            <w:r/>
            <w:r>
              <w:rPr>
                <w:color w:val="0F172A"/>
                <w:sz w:val="20"/>
              </w:rPr>
              <w:t>Financial Diversion Request</w:t>
            </w:r>
          </w:p>
        </w:tc>
        <w:tc>
          <w:tcPr>
            <w:tcW w:type="dxa" w:w="5904"/>
            <w:shd w:val="clear" w:color="auto" w:fill="FFFFFF"/>
          </w:tcPr>
          <w:p>
            <w:r/>
            <w:r>
              <w:rPr>
                <w:color w:val="0F172A"/>
                <w:sz w:val="20"/>
              </w:rPr>
              <w:t>Financial NLP score &gt; 0.3 (wire, IBAN, SWIFT, invoice keywords)</w:t>
            </w:r>
          </w:p>
        </w:tc>
      </w:tr>
      <w:tr>
        <w:tc>
          <w:tcPr>
            <w:tcW w:type="dxa" w:w="720"/>
            <w:shd w:val="clear" w:color="auto" w:fill="F1F5F9"/>
          </w:tcPr>
          <w:p>
            <w:r/>
            <w:r>
              <w:rPr>
                <w:color w:val="0F172A"/>
                <w:sz w:val="20"/>
              </w:rPr>
              <w:t>7</w:t>
            </w:r>
          </w:p>
        </w:tc>
        <w:tc>
          <w:tcPr>
            <w:tcW w:type="dxa" w:w="2592"/>
            <w:shd w:val="clear" w:color="auto" w:fill="F1F5F9"/>
          </w:tcPr>
          <w:p>
            <w:r/>
            <w:r>
              <w:rPr>
                <w:color w:val="0F172A"/>
                <w:sz w:val="20"/>
              </w:rPr>
              <w:t>Payment Execution Mandate</w:t>
            </w:r>
          </w:p>
        </w:tc>
        <w:tc>
          <w:tcPr>
            <w:tcW w:type="dxa" w:w="5904"/>
            <w:shd w:val="clear" w:color="auto" w:fill="F1F5F9"/>
          </w:tcPr>
          <w:p>
            <w:r/>
            <w:r>
              <w:rPr>
                <w:color w:val="0F172A"/>
                <w:sz w:val="20"/>
              </w:rPr>
              <w:t>Conversation hijacking detected in In-Reply-To thread + financial redirect</w:t>
            </w:r>
          </w:p>
        </w:tc>
      </w:tr>
    </w:tbl>
    <w:p>
      <w:pPr>
        <w:spacing w:before="200" w:after="80"/>
      </w:pPr>
      <w:r>
        <w:rPr>
          <w:b/>
          <w:color w:val="2C5F8A"/>
          <w:sz w:val="24"/>
        </w:rPr>
        <w:t>4.6 Core Innovation #5 — Explainable Risk Engine &amp; Counterfactual Analysis</w:t>
      </w:r>
    </w:p>
    <w:p>
      <w:pPr>
        <w:spacing w:before="40" w:after="80" w:line="360" w:lineRule="auto"/>
      </w:pPr>
      <w:r>
        <w:rPr>
          <w:color w:val="0F172A"/>
          <w:sz w:val="22"/>
        </w:rPr>
        <w:t>The risk engine aggregates 11 independently scored forensic components using configurable weights. Each component score contributes transparently to the total BEC Risk Score (0–100). The engine also generates counterfactual explanations — mathematical 'what-if' simulations that show exactly how each individual risk factor drives the total score.</w:t>
      </w:r>
    </w:p>
    <w:p>
      <w:pPr>
        <w:spacing w:before="40" w:after="80" w:line="360" w:lineRule="auto"/>
      </w:pPr>
      <w:r>
        <w:rPr>
          <w:color w:val="0F172A"/>
          <w:sz w:val="22"/>
        </w:rPr>
        <w:t>For example: 'If Reply-To matched the historical sender address: Current Risk 84 → Projected Risk 62.' This gives forensic investigators a clear, defensible explanation for every verdict.</w:t>
      </w:r>
    </w:p>
    <w:p>
      <w:r>
        <w:br w:type="page"/>
      </w:r>
    </w:p>
    <w:p>
      <w:pPr>
        <w:spacing w:before="400" w:after="120"/>
      </w:pPr>
      <w:r>
        <w:rPr>
          <w:b/>
          <w:color w:val="1E3A5F"/>
          <w:sz w:val="32"/>
        </w:rPr>
        <w:t>5. Algorithm</w:t>
      </w:r>
    </w:p>
    <w:p>
      <w:pPr>
        <w:spacing w:before="200" w:after="80"/>
      </w:pPr>
      <w:r>
        <w:rPr>
          <w:b/>
          <w:color w:val="2C5F8A"/>
          <w:sz w:val="24"/>
        </w:rPr>
        <w:t>5.1 Cryptographic Evidence Acquisition</w:t>
      </w:r>
    </w:p>
    <w:p>
      <w:pPr>
        <w:spacing w:before="40" w:after="80" w:line="360" w:lineRule="auto"/>
      </w:pPr>
      <w:r>
        <w:rPr>
          <w:color w:val="0F172A"/>
          <w:sz w:val="22"/>
        </w:rPr>
        <w:t>On evidence ingestion, the system computes:</w:t>
      </w:r>
    </w:p>
    <w:p>
      <w:pPr>
        <w:spacing w:before="40" w:after="80" w:line="360" w:lineRule="auto"/>
      </w:pPr>
      <w:r>
        <w:rPr>
          <w:color w:val="0F172A"/>
          <w:sz w:val="22"/>
        </w:rPr>
        <w:t xml:space="preserve">    sha256_hash = SHA-256(raw_bytes)</w:t>
        <w:br/>
        <w:t xml:space="preserve">    evidence_id = 'EVD-' + YYYY + '-' + ZFILL(seq_num, 4)</w:t>
        <w:br/>
        <w:t xml:space="preserve">    stored_file = write_to_vault(raw_bytes, read_only=True, permissions=0o444)</w:t>
        <w:br/>
        <w:t xml:space="preserve">    on_disk_hash = SHA-256(read(stored_file))</w:t>
        <w:br/>
        <w:t xml:space="preserve">    integrity = 'VERIFIED' if sha256_hash == on_disk_hash else 'TAMPERED'</w:t>
      </w:r>
    </w:p>
    <w:p>
      <w:pPr>
        <w:spacing w:before="40" w:after="80" w:line="360" w:lineRule="auto"/>
      </w:pPr>
      <w:r>
        <w:rPr>
          <w:color w:val="0F172A"/>
          <w:sz w:val="22"/>
        </w:rPr>
        <w:t>The vault write and hash verification are atomic: the stored file is immediately verified after writing to confirm byte-for-byte fidelity before the evidence record is committed to the database.</w:t>
      </w:r>
    </w:p>
    <w:p>
      <w:pPr>
        <w:spacing w:before="200" w:after="80"/>
      </w:pPr>
      <w:r>
        <w:rPr>
          <w:b/>
          <w:color w:val="2C5F8A"/>
          <w:sz w:val="24"/>
        </w:rPr>
        <w:t>5.2 Authentication Analysis (Identity Consistency Score)</w:t>
      </w:r>
    </w:p>
    <w:p>
      <w:pPr>
        <w:spacing w:before="40" w:after="80" w:line="360" w:lineRule="auto"/>
      </w:pPr>
      <w:r>
        <w:rPr>
          <w:color w:val="0F172A"/>
          <w:sz w:val="22"/>
        </w:rPr>
        <w:t>Starting from a perfect score of 100, the identity consistency engine applies deductions:</w:t>
      </w:r>
    </w:p>
    <w:p>
      <w:pPr>
        <w:spacing w:before="40" w:after="80" w:line="360" w:lineRule="auto"/>
      </w:pPr>
      <w:r>
        <w:rPr>
          <w:color w:val="0F172A"/>
          <w:sz w:val="22"/>
        </w:rPr>
        <w:t xml:space="preserve">    identity_score = 100.0</w:t>
        <w:br/>
        <w:t xml:space="preserve">    if SPF == FAIL:    identity_score -= 30</w:t>
        <w:br/>
        <w:t xml:space="preserve">    if DKIM == FAIL:   identity_score -= 30</w:t>
        <w:br/>
        <w:t xml:space="preserve">    if DMARC == FAIL:  identity_score -= 25</w:t>
        <w:br/>
        <w:t xml:space="preserve">    if from_domain ≠ return_path_domain: identity_score -= 10</w:t>
        <w:br/>
        <w:t xml:space="preserve">    if reply_to ≠ None and reply_to_domain ≠ from_domain: identity_score -= 15</w:t>
        <w:br/>
        <w:t xml:space="preserve">    identity_score = max(0, identity_score)</w:t>
      </w:r>
    </w:p>
    <w:p>
      <w:pPr>
        <w:spacing w:before="40" w:after="80" w:line="360" w:lineRule="auto"/>
      </w:pPr>
      <w:r>
        <w:rPr>
          <w:color w:val="0F172A"/>
          <w:sz w:val="22"/>
        </w:rPr>
        <w:t xml:space="preserve">    threat_hypothesis = (</w:t>
        <w:br/>
        <w:t xml:space="preserve">        'POTENTIAL_SPOOFING'   if identity_score &lt; 50</w:t>
        <w:br/>
        <w:t xml:space="preserve">        'POSSIBLE_COMPROMISE'  if identity_score ≥ 50 and (drift_score ≥ 25 or reply_to_mismatch)</w:t>
        <w:br/>
        <w:t xml:space="preserve">        'BENIGN / NORMAL'      otherwise</w:t>
        <w:br/>
        <w:t xml:space="preserve">    )</w:t>
      </w:r>
    </w:p>
    <w:p>
      <w:pPr>
        <w:spacing w:before="200" w:after="80"/>
      </w:pPr>
      <w:r>
        <w:rPr>
          <w:b/>
          <w:color w:val="2C5F8A"/>
          <w:sz w:val="24"/>
        </w:rPr>
        <w:t>5.3 Domain Lookalike Detection</w:t>
      </w:r>
    </w:p>
    <w:p>
      <w:pPr>
        <w:spacing w:before="40" w:after="80" w:line="360" w:lineRule="auto"/>
      </w:pPr>
      <w:r>
        <w:rPr>
          <w:color w:val="0F172A"/>
          <w:sz w:val="22"/>
        </w:rPr>
        <w:t>For each domain pair (From domain vs. reference corporate domains), the system computes Levenshtein edit distance and normalised similarity:</w:t>
      </w:r>
    </w:p>
    <w:p>
      <w:pPr>
        <w:spacing w:before="40" w:after="80" w:line="360" w:lineRule="auto"/>
      </w:pPr>
      <w:r>
        <w:rPr>
          <w:color w:val="0F172A"/>
          <w:sz w:val="22"/>
        </w:rPr>
        <w:t xml:space="preserve">    edit_distance(A, B) = minimum edit operations to transform string A into string B</w:t>
        <w:br/>
        <w:t xml:space="preserve">    similarity = 1 - (edit_distance / max(len(A), len(B)))</w:t>
        <w:br/>
        <w:t xml:space="preserve">    is_lookalike = (similarity ≥ 0.80 and A ≠ B)</w:t>
        <w:br/>
        <w:br/>
        <w:t xml:space="preserve">    Homoglyph substitution check: replaces common visual substitutions</w:t>
        <w:br/>
        <w:t xml:space="preserve">    (l→1, O→0, rn→m, vv→w) and checks if normalised form matches known domains.</w:t>
        <w:br/>
        <w:br/>
        <w:t xml:space="preserve">    Suspicious TLD check: flags domains ending in .xyz, .top, .click, .live, .work, .tk, etc.</w:t>
      </w:r>
    </w:p>
    <w:p>
      <w:pPr>
        <w:spacing w:before="200" w:after="80"/>
      </w:pPr>
      <w:r>
        <w:rPr>
          <w:b/>
          <w:color w:val="2C5F8A"/>
          <w:sz w:val="24"/>
        </w:rPr>
        <w:t>5.4 Sender Behavioural Drift Detection</w:t>
      </w:r>
    </w:p>
    <w:p>
      <w:pPr>
        <w:spacing w:before="40" w:after="80" w:line="360" w:lineRule="auto"/>
      </w:pPr>
      <w:r>
        <w:rPr>
          <w:color w:val="0F172A"/>
          <w:sz w:val="22"/>
        </w:rPr>
        <w:t>The drift engine computes a Z-score for each profile dimension and combines them:</w:t>
      </w:r>
    </w:p>
    <w:p>
      <w:pPr>
        <w:spacing w:before="40" w:after="80" w:line="360" w:lineRule="auto"/>
      </w:pPr>
      <w:r>
        <w:rPr>
          <w:color w:val="0F172A"/>
          <w:sz w:val="22"/>
        </w:rPr>
        <w:t xml:space="preserve">    z_hour    = (current_send_hour - mean_send_hour) / std_send_hour</w:t>
        <w:br/>
        <w:t xml:space="preserve">    z_domain  = 1.0 if current_domain ∉ historical_domains else 0.0</w:t>
        <w:br/>
        <w:t xml:space="preserve">    z_replyto = 1.0 if current_reply_to ∉ historical_reply_to_addresses else 0.0</w:t>
        <w:br/>
        <w:br/>
        <w:t xml:space="preserve">    drift_score = min(100, 25·[z_hour &gt; 2.0] + 30·z_domain + 25·z_replyto</w:t>
        <w:br/>
        <w:t xml:space="preserve">                           + 20·[display_name ∉ historical_display_names])</w:t>
        <w:br/>
        <w:br/>
        <w:t xml:space="preserve">    drift_level = (</w:t>
        <w:br/>
        <w:t xml:space="preserve">        'CRITICAL' if drift_score ≥ 75</w:t>
        <w:br/>
        <w:t xml:space="preserve">        'HIGH'     if drift_score ≥ 50</w:t>
        <w:br/>
        <w:t xml:space="preserve">        'MODERATE' if drift_score ≥ 25</w:t>
        <w:br/>
        <w:t xml:space="preserve">        'LOW'      if drift_score ≥ 10</w:t>
        <w:br/>
        <w:t xml:space="preserve">        'NONE'     otherwise</w:t>
        <w:br/>
        <w:t xml:space="preserve">    )</w:t>
      </w:r>
    </w:p>
    <w:p>
      <w:pPr>
        <w:spacing w:before="200" w:after="80"/>
      </w:pPr>
      <w:r>
        <w:rPr>
          <w:b/>
          <w:color w:val="2C5F8A"/>
          <w:sz w:val="24"/>
        </w:rPr>
        <w:t>5.5 NLP Language Analysis</w:t>
      </w:r>
    </w:p>
    <w:p>
      <w:pPr>
        <w:spacing w:before="40" w:after="80" w:line="360" w:lineRule="auto"/>
      </w:pPr>
      <w:r>
        <w:rPr>
          <w:color w:val="0F172A"/>
          <w:sz w:val="22"/>
        </w:rPr>
        <w:t>Four independent NLP keyword vectors are computed from the email body:</w:t>
      </w:r>
    </w:p>
    <w:p>
      <w:pPr>
        <w:spacing w:before="40" w:after="80" w:line="360" w:lineRule="auto"/>
      </w:pPr>
      <w:r>
        <w:rPr>
          <w:color w:val="0F172A"/>
          <w:sz w:val="22"/>
        </w:rPr>
        <w:t xml:space="preserve">    urgency_score    = count of urgency keywords / normalisation constant</w:t>
        <w:br/>
        <w:t xml:space="preserve">    financial_score  = count of financial keywords / normalisation constant</w:t>
        <w:br/>
        <w:t xml:space="preserve">    authority_score  = count of executive authority phrases / normalisation constant</w:t>
        <w:br/>
        <w:t xml:space="preserve">    secrecy_score    = count of confidentiality keywords / normalisation constant</w:t>
        <w:br/>
        <w:br/>
        <w:t xml:space="preserve">    Sample urgency keywords:   urgent, immediately, asap, time-sensitive, deadline, within 1 hour</w:t>
        <w:br/>
        <w:t xml:space="preserve">    Sample financial keywords: wire transfer, IBAN, SWIFT, routing number, bank account, invoice</w:t>
        <w:br/>
        <w:t xml:space="preserve">    Sample secrecy keywords:   confidential, do not tell, keep between us, bypass, do not call</w:t>
      </w:r>
    </w:p>
    <w:p>
      <w:pPr>
        <w:spacing w:before="200" w:after="80"/>
      </w:pPr>
      <w:r>
        <w:rPr>
          <w:b/>
          <w:color w:val="2C5F8A"/>
          <w:sz w:val="24"/>
        </w:rPr>
        <w:t>5.6 Composite BEC Risk Score</w:t>
      </w:r>
    </w:p>
    <w:p>
      <w:pPr>
        <w:spacing w:before="40" w:after="80" w:line="360" w:lineRule="auto"/>
      </w:pPr>
      <w:r>
        <w:rPr>
          <w:color w:val="0F172A"/>
          <w:sz w:val="22"/>
        </w:rPr>
        <w:t>The risk engine computes a weighted sum of 11 forensic component scores:</w:t>
      </w:r>
    </w:p>
    <w:p>
      <w:pPr>
        <w:spacing w:before="40" w:after="80" w:line="360" w:lineRule="auto"/>
      </w:pPr>
      <w:r>
        <w:rPr>
          <w:color w:val="0F172A"/>
          <w:sz w:val="22"/>
        </w:rPr>
        <w:t xml:space="preserve">    risk_score = (</w:t>
        <w:br/>
        <w:t xml:space="preserve">        W_header   · header_score    +   W_auth     · auth_score      +</w:t>
        <w:br/>
        <w:t xml:space="preserve">        W_domain   · domain_score    +   W_routing  · routing_score   +</w:t>
        <w:br/>
        <w:t xml:space="preserve">        W_nlp_urg  · urgency_score   +   W_nlp_fin  · financial_score +</w:t>
        <w:br/>
        <w:t xml:space="preserve">        W_nlp_sec  · secrecy_score   +   W_drift    · drift_score     +</w:t>
        <w:br/>
        <w:t xml:space="preserve">        W_graph    · graph_score     +   W_hijack   · hijack_score    +</w:t>
        <w:br/>
        <w:t xml:space="preserve">        W_attach   · attachment_score</w:t>
        <w:br/>
        <w:t xml:space="preserve">    ) · 100</w:t>
        <w:br/>
        <w:br/>
        <w:t xml:space="preserve">    risk_level = (</w:t>
        <w:br/>
        <w:t xml:space="preserve">        'CRITICAL'    if risk_score ≥ 80</w:t>
        <w:br/>
        <w:t xml:space="preserve">        'HIGH'        if risk_score ≥ 60</w:t>
        <w:br/>
        <w:t xml:space="preserve">        'SUSPICIOUS'  if risk_score ≥ 45</w:t>
        <w:br/>
        <w:t xml:space="preserve">        'MEDIUM'      if risk_score ≥ 25</w:t>
        <w:br/>
        <w:t xml:space="preserve">        'LOW'         otherwise</w:t>
        <w:br/>
        <w:t xml:space="preserve">    )</w:t>
      </w:r>
    </w:p>
    <w:p>
      <w:pPr>
        <w:spacing w:before="200" w:after="80"/>
      </w:pPr>
      <w:r>
        <w:rPr>
          <w:b/>
          <w:color w:val="2C5F8A"/>
          <w:sz w:val="24"/>
        </w:rPr>
        <w:t>5.7 Counterfactual Simulation</w:t>
      </w:r>
    </w:p>
    <w:p>
      <w:pPr>
        <w:spacing w:before="40" w:after="80" w:line="360" w:lineRule="auto"/>
      </w:pPr>
      <w:r>
        <w:rPr>
          <w:color w:val="0F172A"/>
          <w:sz w:val="22"/>
        </w:rPr>
        <w:t>For each triggered risk component, the counterfactual engine zeroes out that component's contribution and recomputes the total score to isolate its causal impact:</w:t>
      </w:r>
    </w:p>
    <w:p>
      <w:pPr>
        <w:spacing w:before="40" w:after="80" w:line="360" w:lineRule="auto"/>
      </w:pPr>
      <w:r>
        <w:rPr>
          <w:color w:val="0F172A"/>
          <w:sz w:val="22"/>
        </w:rPr>
        <w:t xml:space="preserve">    for each component C with score &gt; 0:</w:t>
        <w:br/>
        <w:t xml:space="preserve">        projected_score = risk_score - (W_C · C_score · 100)</w:t>
        <w:br/>
        <w:t xml:space="preserve">        counterfactual = {</w:t>
        <w:br/>
        <w:t xml:space="preserve">            'condition': f'If {C.description} were resolved',</w:t>
        <w:br/>
        <w:t xml:space="preserve">            'score': max(0, projected_score)</w:t>
        <w:br/>
        <w:t xml:space="preserve">        }</w:t>
      </w:r>
    </w:p>
    <w:p>
      <w:r>
        <w:br w:type="page"/>
      </w:r>
    </w:p>
    <w:p>
      <w:pPr>
        <w:spacing w:before="400" w:after="120"/>
      </w:pPr>
      <w:r>
        <w:rPr>
          <w:b/>
          <w:color w:val="1E3A5F"/>
          <w:sz w:val="32"/>
        </w:rPr>
        <w:t>6. Outcome</w:t>
      </w:r>
    </w:p>
    <w:p>
      <w:pPr>
        <w:spacing w:before="200" w:after="80"/>
      </w:pPr>
      <w:r>
        <w:rPr>
          <w:b/>
          <w:color w:val="2C5F8A"/>
          <w:sz w:val="24"/>
        </w:rPr>
        <w:t>6.1 Test Suite Validation</w:t>
      </w:r>
    </w:p>
    <w:p>
      <w:pPr>
        <w:spacing w:before="40" w:after="80" w:line="360" w:lineRule="auto"/>
      </w:pPr>
      <w:r>
        <w:rPr>
          <w:color w:val="0F172A"/>
          <w:sz w:val="22"/>
        </w:rPr>
        <w:t>The complete BEC-FORGE test suite comprising 79 unit and integration tests was executed and passed 100% across all forensic engine modules. Tests run using isolated in-memory SQLite databases and temporary evidence directories to ensure zero pollution of production evidence.</w:t>
      </w:r>
    </w:p>
    <w:tbl>
      <w:tblPr>
        <w:tblStyle w:val="TableGrid"/>
        <w:tblW w:type="auto" w:w="0"/>
        <w:tblLayout w:type="fixed"/>
        <w:tblLook w:firstColumn="1" w:firstRow="1" w:lastColumn="0" w:lastRow="0" w:noHBand="0" w:noVBand="1" w:val="04A0"/>
      </w:tblPr>
      <w:tblGrid>
        <w:gridCol w:w="3022"/>
        <w:gridCol w:w="3022"/>
        <w:gridCol w:w="3022"/>
      </w:tblGrid>
      <w:tr>
        <w:tc>
          <w:tcPr>
            <w:tcW w:type="dxa" w:w="3168"/>
            <w:shd w:val="clear" w:color="auto" w:fill="1E3A5F"/>
          </w:tcPr>
          <w:p>
            <w:r/>
            <w:r>
              <w:rPr>
                <w:b/>
                <w:color w:val="FFFFFF"/>
                <w:sz w:val="20"/>
              </w:rPr>
              <w:t>Test Module</w:t>
            </w:r>
          </w:p>
        </w:tc>
        <w:tc>
          <w:tcPr>
            <w:tcW w:type="dxa" w:w="1008"/>
            <w:shd w:val="clear" w:color="auto" w:fill="1E3A5F"/>
          </w:tcPr>
          <w:p>
            <w:r/>
            <w:r>
              <w:rPr>
                <w:b/>
                <w:color w:val="FFFFFF"/>
                <w:sz w:val="20"/>
              </w:rPr>
              <w:t>Tests</w:t>
            </w:r>
          </w:p>
        </w:tc>
        <w:tc>
          <w:tcPr>
            <w:tcW w:type="dxa" w:w="5040"/>
            <w:shd w:val="clear" w:color="auto" w:fill="1E3A5F"/>
          </w:tcPr>
          <w:p>
            <w:r/>
            <w:r>
              <w:rPr>
                <w:b/>
                <w:color w:val="FFFFFF"/>
                <w:sz w:val="20"/>
              </w:rPr>
              <w:t>Coverage Area</w:t>
            </w:r>
          </w:p>
        </w:tc>
      </w:tr>
      <w:tr>
        <w:tc>
          <w:tcPr>
            <w:tcW w:type="dxa" w:w="3168"/>
            <w:shd w:val="clear" w:color="auto" w:fill="F1F5F9"/>
          </w:tcPr>
          <w:p>
            <w:r/>
            <w:r>
              <w:rPr>
                <w:color w:val="0F172A"/>
                <w:sz w:val="20"/>
              </w:rPr>
              <w:t>test_phase1.py</w:t>
            </w:r>
          </w:p>
        </w:tc>
        <w:tc>
          <w:tcPr>
            <w:tcW w:type="dxa" w:w="1008"/>
            <w:shd w:val="clear" w:color="auto" w:fill="F1F5F9"/>
          </w:tcPr>
          <w:p>
            <w:r/>
            <w:r>
              <w:rPr>
                <w:color w:val="0F172A"/>
                <w:sz w:val="20"/>
              </w:rPr>
              <w:t>40</w:t>
            </w:r>
          </w:p>
        </w:tc>
        <w:tc>
          <w:tcPr>
            <w:tcW w:type="dxa" w:w="5040"/>
            <w:shd w:val="clear" w:color="auto" w:fill="F1F5F9"/>
          </w:tcPr>
          <w:p>
            <w:r/>
            <w:r>
              <w:rPr>
                <w:color w:val="0F172A"/>
                <w:sz w:val="20"/>
              </w:rPr>
              <w:t>Evidence acquisition, RFC-822 parsing, header analysis, auth analysis, domain analysis, NLP, risk engine.</w:t>
            </w:r>
          </w:p>
        </w:tc>
      </w:tr>
      <w:tr>
        <w:tc>
          <w:tcPr>
            <w:tcW w:type="dxa" w:w="3168"/>
            <w:shd w:val="clear" w:color="auto" w:fill="FFFFFF"/>
          </w:tcPr>
          <w:p>
            <w:r/>
            <w:r>
              <w:rPr>
                <w:color w:val="0F172A"/>
                <w:sz w:val="20"/>
              </w:rPr>
              <w:t>test_phase2.py</w:t>
            </w:r>
          </w:p>
        </w:tc>
        <w:tc>
          <w:tcPr>
            <w:tcW w:type="dxa" w:w="1008"/>
            <w:shd w:val="clear" w:color="auto" w:fill="FFFFFF"/>
          </w:tcPr>
          <w:p>
            <w:r/>
            <w:r>
              <w:rPr>
                <w:color w:val="0F172A"/>
                <w:sz w:val="20"/>
              </w:rPr>
              <w:t>10</w:t>
            </w:r>
          </w:p>
        </w:tc>
        <w:tc>
          <w:tcPr>
            <w:tcW w:type="dxa" w:w="5040"/>
            <w:shd w:val="clear" w:color="auto" w:fill="FFFFFF"/>
          </w:tcPr>
          <w:p>
            <w:r/>
            <w:r>
              <w:rPr>
                <w:color w:val="0F172A"/>
                <w:sz w:val="20"/>
              </w:rPr>
              <w:t>ARC validation, DMARC alignment, FastAPI server endpoints, evidence upload API.</w:t>
            </w:r>
          </w:p>
        </w:tc>
      </w:tr>
      <w:tr>
        <w:tc>
          <w:tcPr>
            <w:tcW w:type="dxa" w:w="3168"/>
            <w:shd w:val="clear" w:color="auto" w:fill="F1F5F9"/>
          </w:tcPr>
          <w:p>
            <w:r/>
            <w:r>
              <w:rPr>
                <w:color w:val="0F172A"/>
                <w:sz w:val="20"/>
              </w:rPr>
              <w:t>test_phase3.py</w:t>
            </w:r>
          </w:p>
        </w:tc>
        <w:tc>
          <w:tcPr>
            <w:tcW w:type="dxa" w:w="1008"/>
            <w:shd w:val="clear" w:color="auto" w:fill="F1F5F9"/>
          </w:tcPr>
          <w:p>
            <w:r/>
            <w:r>
              <w:rPr>
                <w:color w:val="0F172A"/>
                <w:sz w:val="20"/>
              </w:rPr>
              <w:t>5</w:t>
            </w:r>
          </w:p>
        </w:tc>
        <w:tc>
          <w:tcPr>
            <w:tcW w:type="dxa" w:w="5040"/>
            <w:shd w:val="clear" w:color="auto" w:fill="F1F5F9"/>
          </w:tcPr>
          <w:p>
            <w:r/>
            <w:r>
              <w:rPr>
                <w:color w:val="0F172A"/>
                <w:sz w:val="20"/>
              </w:rPr>
              <w:t>Sender fingerprinting, identity drift detection, baseline learning, orchestrator integration.</w:t>
            </w:r>
          </w:p>
        </w:tc>
      </w:tr>
      <w:tr>
        <w:tc>
          <w:tcPr>
            <w:tcW w:type="dxa" w:w="3168"/>
            <w:shd w:val="clear" w:color="auto" w:fill="FFFFFF"/>
          </w:tcPr>
          <w:p>
            <w:r/>
            <w:r>
              <w:rPr>
                <w:color w:val="0F172A"/>
                <w:sz w:val="20"/>
              </w:rPr>
              <w:t>test_phase4_5.py</w:t>
            </w:r>
          </w:p>
        </w:tc>
        <w:tc>
          <w:tcPr>
            <w:tcW w:type="dxa" w:w="1008"/>
            <w:shd w:val="clear" w:color="auto" w:fill="FFFFFF"/>
          </w:tcPr>
          <w:p>
            <w:r/>
            <w:r>
              <w:rPr>
                <w:color w:val="0F172A"/>
                <w:sz w:val="20"/>
              </w:rPr>
              <w:t>8</w:t>
            </w:r>
          </w:p>
        </w:tc>
        <w:tc>
          <w:tcPr>
            <w:tcW w:type="dxa" w:w="5040"/>
            <w:shd w:val="clear" w:color="auto" w:fill="FFFFFF"/>
          </w:tcPr>
          <w:p>
            <w:r/>
            <w:r>
              <w:rPr>
                <w:color w:val="0F172A"/>
                <w:sz w:val="20"/>
              </w:rPr>
              <w:t>Z-score statistical analysis, temporal anomaly detection, NetworkX graph, Cytoscape JSON.</w:t>
            </w:r>
          </w:p>
        </w:tc>
      </w:tr>
      <w:tr>
        <w:tc>
          <w:tcPr>
            <w:tcW w:type="dxa" w:w="3168"/>
            <w:shd w:val="clear" w:color="auto" w:fill="F1F5F9"/>
          </w:tcPr>
          <w:p>
            <w:r/>
            <w:r>
              <w:rPr>
                <w:color w:val="0F172A"/>
                <w:sz w:val="20"/>
              </w:rPr>
              <w:t>test_phase6_7.py</w:t>
            </w:r>
          </w:p>
        </w:tc>
        <w:tc>
          <w:tcPr>
            <w:tcW w:type="dxa" w:w="1008"/>
            <w:shd w:val="clear" w:color="auto" w:fill="F1F5F9"/>
          </w:tcPr>
          <w:p>
            <w:r/>
            <w:r>
              <w:rPr>
                <w:color w:val="0F172A"/>
                <w:sz w:val="20"/>
              </w:rPr>
              <w:t>4</w:t>
            </w:r>
          </w:p>
        </w:tc>
        <w:tc>
          <w:tcPr>
            <w:tcW w:type="dxa" w:w="5040"/>
            <w:shd w:val="clear" w:color="auto" w:fill="F1F5F9"/>
          </w:tcPr>
          <w:p>
            <w:r/>
            <w:r>
              <w:rPr>
                <w:color w:val="0F172A"/>
                <w:sz w:val="20"/>
              </w:rPr>
              <w:t>Conversation hijacking detection, 7-stage attack chain reconstruction.</w:t>
            </w:r>
          </w:p>
        </w:tc>
      </w:tr>
      <w:tr>
        <w:tc>
          <w:tcPr>
            <w:tcW w:type="dxa" w:w="3168"/>
            <w:shd w:val="clear" w:color="auto" w:fill="FFFFFF"/>
          </w:tcPr>
          <w:p>
            <w:r/>
            <w:r>
              <w:rPr>
                <w:color w:val="0F172A"/>
                <w:sz w:val="20"/>
              </w:rPr>
              <w:t>test_industry_readiness.py</w:t>
            </w:r>
          </w:p>
        </w:tc>
        <w:tc>
          <w:tcPr>
            <w:tcW w:type="dxa" w:w="1008"/>
            <w:shd w:val="clear" w:color="auto" w:fill="FFFFFF"/>
          </w:tcPr>
          <w:p>
            <w:r/>
            <w:r>
              <w:rPr>
                <w:color w:val="0F172A"/>
                <w:sz w:val="20"/>
              </w:rPr>
              <w:t>12</w:t>
            </w:r>
          </w:p>
        </w:tc>
        <w:tc>
          <w:tcPr>
            <w:tcW w:type="dxa" w:w="5040"/>
            <w:shd w:val="clear" w:color="auto" w:fill="FFFFFF"/>
          </w:tcPr>
          <w:p>
            <w:r/>
            <w:r>
              <w:rPr>
                <w:color w:val="0F172A"/>
                <w:sz w:val="20"/>
              </w:rPr>
              <w:t>Hop-by-hop routing tracer, ZIP/MBOX batch ingestion, SHA-256 audit, PDF generation, batch API.</w:t>
            </w:r>
          </w:p>
        </w:tc>
      </w:tr>
      <w:tr>
        <w:tc>
          <w:tcPr>
            <w:tcW w:type="dxa" w:w="3168"/>
            <w:shd w:val="clear" w:color="auto" w:fill="F1F5F9"/>
          </w:tcPr>
          <w:p>
            <w:r/>
            <w:r>
              <w:rPr>
                <w:color w:val="0F172A"/>
                <w:sz w:val="20"/>
              </w:rPr>
              <w:t>TOTAL</w:t>
            </w:r>
          </w:p>
        </w:tc>
        <w:tc>
          <w:tcPr>
            <w:tcW w:type="dxa" w:w="1008"/>
            <w:shd w:val="clear" w:color="auto" w:fill="F1F5F9"/>
          </w:tcPr>
          <w:p>
            <w:r/>
            <w:r>
              <w:rPr>
                <w:color w:val="0F172A"/>
                <w:sz w:val="20"/>
              </w:rPr>
              <w:t>79</w:t>
            </w:r>
          </w:p>
        </w:tc>
        <w:tc>
          <w:tcPr>
            <w:tcW w:type="dxa" w:w="5040"/>
            <w:shd w:val="clear" w:color="auto" w:fill="F1F5F9"/>
          </w:tcPr>
          <w:p>
            <w:r/>
            <w:r>
              <w:rPr>
                <w:color w:val="0F172A"/>
                <w:sz w:val="20"/>
              </w:rPr>
              <w:t>All 79 tests PASSED — 0 failures, 0 errors.</w:t>
            </w:r>
          </w:p>
        </w:tc>
      </w:tr>
    </w:tbl>
    <w:p>
      <w:pPr>
        <w:spacing w:before="200" w:after="80"/>
      </w:pPr>
      <w:r>
        <w:rPr>
          <w:b/>
          <w:color w:val="2C5F8A"/>
          <w:sz w:val="24"/>
        </w:rPr>
        <w:t>6.2 Real-World Dataset Validation</w:t>
      </w:r>
    </w:p>
    <w:p>
      <w:pPr>
        <w:spacing w:before="40" w:after="80" w:line="360" w:lineRule="auto"/>
      </w:pPr>
      <w:r>
        <w:rPr>
          <w:color w:val="0F172A"/>
          <w:sz w:val="22"/>
        </w:rPr>
        <w:t>BEC-FORGE was validated against two public real-world forensic email corpora:</w:t>
      </w:r>
    </w:p>
    <w:tbl>
      <w:tblPr>
        <w:tblStyle w:val="TableGrid"/>
        <w:tblW w:type="auto" w:w="0"/>
        <w:tblLayout w:type="fixed"/>
        <w:tblLook w:firstColumn="1" w:firstRow="1" w:lastColumn="0" w:lastRow="0" w:noHBand="0" w:noVBand="1" w:val="04A0"/>
      </w:tblPr>
      <w:tblGrid>
        <w:gridCol w:w="2266"/>
        <w:gridCol w:w="2266"/>
        <w:gridCol w:w="2266"/>
        <w:gridCol w:w="2266"/>
      </w:tblGrid>
      <w:tr>
        <w:tc>
          <w:tcPr>
            <w:tcW w:type="dxa" w:w="2160"/>
            <w:shd w:val="clear" w:color="auto" w:fill="1E3A5F"/>
          </w:tcPr>
          <w:p>
            <w:r/>
            <w:r>
              <w:rPr>
                <w:b/>
                <w:color w:val="FFFFFF"/>
                <w:sz w:val="20"/>
              </w:rPr>
              <w:t>Dataset</w:t>
            </w:r>
          </w:p>
        </w:tc>
        <w:tc>
          <w:tcPr>
            <w:tcW w:type="dxa" w:w="2880"/>
            <w:shd w:val="clear" w:color="auto" w:fill="1E3A5F"/>
          </w:tcPr>
          <w:p>
            <w:r/>
            <w:r>
              <w:rPr>
                <w:b/>
                <w:color w:val="FFFFFF"/>
                <w:sz w:val="20"/>
              </w:rPr>
              <w:t>Source</w:t>
            </w:r>
          </w:p>
        </w:tc>
        <w:tc>
          <w:tcPr>
            <w:tcW w:type="dxa" w:w="1728"/>
            <w:shd w:val="clear" w:color="auto" w:fill="1E3A5F"/>
          </w:tcPr>
          <w:p>
            <w:r/>
            <w:r>
              <w:rPr>
                <w:b/>
                <w:color w:val="FFFFFF"/>
                <w:sz w:val="20"/>
              </w:rPr>
              <w:t>Volume</w:t>
            </w:r>
          </w:p>
        </w:tc>
        <w:tc>
          <w:tcPr>
            <w:tcW w:type="dxa" w:w="2448"/>
            <w:shd w:val="clear" w:color="auto" w:fill="1E3A5F"/>
          </w:tcPr>
          <w:p>
            <w:r/>
            <w:r>
              <w:rPr>
                <w:b/>
                <w:color w:val="FFFFFF"/>
                <w:sz w:val="20"/>
              </w:rPr>
              <w:t>Observed Outcomes</w:t>
            </w:r>
          </w:p>
        </w:tc>
      </w:tr>
      <w:tr>
        <w:tc>
          <w:tcPr>
            <w:tcW w:type="dxa" w:w="2160"/>
            <w:shd w:val="clear" w:color="auto" w:fill="F1F5F9"/>
          </w:tcPr>
          <w:p>
            <w:r/>
            <w:r>
              <w:rPr>
                <w:color w:val="0F172A"/>
                <w:sz w:val="20"/>
              </w:rPr>
              <w:t>Apache SpamAssassin (easy_ham)</w:t>
            </w:r>
          </w:p>
        </w:tc>
        <w:tc>
          <w:tcPr>
            <w:tcW w:type="dxa" w:w="2880"/>
            <w:shd w:val="clear" w:color="auto" w:fill="F1F5F9"/>
          </w:tcPr>
          <w:p>
            <w:r/>
            <w:r>
              <w:rPr>
                <w:color w:val="0F172A"/>
                <w:sz w:val="20"/>
              </w:rPr>
              <w:t>spamassassin.apache.org/old/publiccorpus/</w:t>
            </w:r>
          </w:p>
        </w:tc>
        <w:tc>
          <w:tcPr>
            <w:tcW w:type="dxa" w:w="1728"/>
            <w:shd w:val="clear" w:color="auto" w:fill="F1F5F9"/>
          </w:tcPr>
          <w:p>
            <w:r/>
            <w:r>
              <w:rPr>
                <w:color w:val="0F172A"/>
                <w:sz w:val="20"/>
              </w:rPr>
              <w:t>20 authentic corporate emails</w:t>
            </w:r>
          </w:p>
        </w:tc>
        <w:tc>
          <w:tcPr>
            <w:tcW w:type="dxa" w:w="2448"/>
            <w:shd w:val="clear" w:color="auto" w:fill="F1F5F9"/>
          </w:tcPr>
          <w:p>
            <w:r/>
            <w:r>
              <w:rPr>
                <w:color w:val="0F172A"/>
                <w:sz w:val="20"/>
              </w:rPr>
              <w:t>Correctly scored as LOW risk (9–25/100). All SPF/DKIM/DMARC authenticated. No BEC kill-chain stages triggered beyond Stage 1.</w:t>
            </w:r>
          </w:p>
        </w:tc>
      </w:tr>
      <w:tr>
        <w:tc>
          <w:tcPr>
            <w:tcW w:type="dxa" w:w="2160"/>
            <w:shd w:val="clear" w:color="auto" w:fill="FFFFFF"/>
          </w:tcPr>
          <w:p>
            <w:r/>
            <w:r>
              <w:rPr>
                <w:color w:val="0F172A"/>
                <w:sz w:val="20"/>
              </w:rPr>
              <w:t>Jose Nazario Phishing Archive</w:t>
            </w:r>
          </w:p>
        </w:tc>
        <w:tc>
          <w:tcPr>
            <w:tcW w:type="dxa" w:w="2880"/>
            <w:shd w:val="clear" w:color="auto" w:fill="FFFFFF"/>
          </w:tcPr>
          <w:p>
            <w:r/>
            <w:r>
              <w:rPr>
                <w:color w:val="0F172A"/>
                <w:sz w:val="20"/>
              </w:rPr>
              <w:t>monkey.org/~jose/phishing/</w:t>
            </w:r>
          </w:p>
        </w:tc>
        <w:tc>
          <w:tcPr>
            <w:tcW w:type="dxa" w:w="1728"/>
            <w:shd w:val="clear" w:color="auto" w:fill="FFFFFF"/>
          </w:tcPr>
          <w:p>
            <w:r/>
            <w:r>
              <w:rPr>
                <w:color w:val="0F172A"/>
                <w:sz w:val="20"/>
              </w:rPr>
              <w:t>91 real-world phishing lures (MBOX)</w:t>
            </w:r>
          </w:p>
        </w:tc>
        <w:tc>
          <w:tcPr>
            <w:tcW w:type="dxa" w:w="2448"/>
            <w:shd w:val="clear" w:color="auto" w:fill="FFFFFF"/>
          </w:tcPr>
          <w:p>
            <w:r/>
            <w:r>
              <w:rPr>
                <w:color w:val="0F172A"/>
                <w:sz w:val="20"/>
              </w:rPr>
              <w:t>Elevated risk scores (35–84/100). HIGH findings for display-name spoofing, authentication failures, urgency language. New relationship flags on first-contact edges.</w:t>
            </w:r>
          </w:p>
        </w:tc>
      </w:tr>
    </w:tbl>
    <w:p>
      <w:pPr>
        <w:spacing w:before="200" w:after="80"/>
      </w:pPr>
      <w:r>
        <w:rPr>
          <w:b/>
          <w:color w:val="2C5F8A"/>
          <w:sz w:val="24"/>
        </w:rPr>
        <w:t>6.3 Forensic Engine Performance on Sample Emails</w:t>
      </w:r>
    </w:p>
    <w:p>
      <w:pPr>
        <w:spacing w:before="40" w:after="80" w:line="360" w:lineRule="auto"/>
      </w:pPr>
      <w:r>
        <w:rPr>
          <w:color w:val="0F172A"/>
          <w:sz w:val="22"/>
        </w:rPr>
        <w:t>The following table shows example outcomes from three representative email types ingested during testing:</w:t>
      </w:r>
    </w:p>
    <w:tbl>
      <w:tblPr>
        <w:tblStyle w:val="TableGrid"/>
        <w:tblW w:type="auto" w:w="0"/>
        <w:tblLayout w:type="fixed"/>
        <w:tblLook w:firstColumn="1" w:firstRow="1" w:lastColumn="0" w:lastRow="0" w:noHBand="0" w:noVBand="1" w:val="04A0"/>
      </w:tblPr>
      <w:tblGrid>
        <w:gridCol w:w="1813"/>
        <w:gridCol w:w="1813"/>
        <w:gridCol w:w="1813"/>
        <w:gridCol w:w="1813"/>
        <w:gridCol w:w="1813"/>
      </w:tblGrid>
      <w:tr>
        <w:tc>
          <w:tcPr>
            <w:tcW w:type="dxa" w:w="2160"/>
            <w:shd w:val="clear" w:color="auto" w:fill="1E3A5F"/>
          </w:tcPr>
          <w:p>
            <w:r/>
            <w:r>
              <w:rPr>
                <w:b/>
                <w:color w:val="FFFFFF"/>
                <w:sz w:val="20"/>
              </w:rPr>
              <w:t>Email Type</w:t>
            </w:r>
          </w:p>
        </w:tc>
        <w:tc>
          <w:tcPr>
            <w:tcW w:type="dxa" w:w="1296"/>
            <w:shd w:val="clear" w:color="auto" w:fill="1E3A5F"/>
          </w:tcPr>
          <w:p>
            <w:r/>
            <w:r>
              <w:rPr>
                <w:b/>
                <w:color w:val="FFFFFF"/>
                <w:sz w:val="20"/>
              </w:rPr>
              <w:t>Risk Score</w:t>
            </w:r>
          </w:p>
        </w:tc>
        <w:tc>
          <w:tcPr>
            <w:tcW w:type="dxa" w:w="1152"/>
            <w:shd w:val="clear" w:color="auto" w:fill="1E3A5F"/>
          </w:tcPr>
          <w:p>
            <w:r/>
            <w:r>
              <w:rPr>
                <w:b/>
                <w:color w:val="FFFFFF"/>
                <w:sz w:val="20"/>
              </w:rPr>
              <w:t>Risk Level</w:t>
            </w:r>
          </w:p>
        </w:tc>
        <w:tc>
          <w:tcPr>
            <w:tcW w:type="dxa" w:w="2016"/>
            <w:shd w:val="clear" w:color="auto" w:fill="1E3A5F"/>
          </w:tcPr>
          <w:p>
            <w:r/>
            <w:r>
              <w:rPr>
                <w:b/>
                <w:color w:val="FFFFFF"/>
                <w:sz w:val="20"/>
              </w:rPr>
              <w:t>Threat Hypothesis</w:t>
            </w:r>
          </w:p>
        </w:tc>
        <w:tc>
          <w:tcPr>
            <w:tcW w:type="dxa" w:w="2592"/>
            <w:shd w:val="clear" w:color="auto" w:fill="1E3A5F"/>
          </w:tcPr>
          <w:p>
            <w:r/>
            <w:r>
              <w:rPr>
                <w:b/>
                <w:color w:val="FFFFFF"/>
                <w:sz w:val="20"/>
              </w:rPr>
              <w:t>Key Findings</w:t>
            </w:r>
          </w:p>
        </w:tc>
      </w:tr>
      <w:tr>
        <w:tc>
          <w:tcPr>
            <w:tcW w:type="dxa" w:w="2160"/>
            <w:shd w:val="clear" w:color="auto" w:fill="F1F5F9"/>
          </w:tcPr>
          <w:p>
            <w:r/>
            <w:r>
              <w:rPr>
                <w:color w:val="0F172A"/>
                <w:sz w:val="20"/>
              </w:rPr>
              <w:t>Legitimate corporate purchase order</w:t>
            </w:r>
          </w:p>
        </w:tc>
        <w:tc>
          <w:tcPr>
            <w:tcW w:type="dxa" w:w="1296"/>
            <w:shd w:val="clear" w:color="auto" w:fill="F1F5F9"/>
          </w:tcPr>
          <w:p>
            <w:r/>
            <w:r>
              <w:rPr>
                <w:color w:val="0F172A"/>
                <w:sz w:val="20"/>
              </w:rPr>
              <w:t>11.6 / 100</w:t>
            </w:r>
          </w:p>
        </w:tc>
        <w:tc>
          <w:tcPr>
            <w:tcW w:type="dxa" w:w="1152"/>
            <w:shd w:val="clear" w:color="auto" w:fill="F1F5F9"/>
          </w:tcPr>
          <w:p>
            <w:r/>
            <w:r>
              <w:rPr>
                <w:color w:val="0F172A"/>
                <w:sz w:val="20"/>
              </w:rPr>
              <w:t>LOW</w:t>
            </w:r>
          </w:p>
        </w:tc>
        <w:tc>
          <w:tcPr>
            <w:tcW w:type="dxa" w:w="2016"/>
            <w:shd w:val="clear" w:color="auto" w:fill="F1F5F9"/>
          </w:tcPr>
          <w:p>
            <w:r/>
            <w:r>
              <w:rPr>
                <w:color w:val="0F172A"/>
                <w:sz w:val="20"/>
              </w:rPr>
              <w:t>BENIGN / NORMAL</w:t>
            </w:r>
          </w:p>
        </w:tc>
        <w:tc>
          <w:tcPr>
            <w:tcW w:type="dxa" w:w="2592"/>
            <w:shd w:val="clear" w:color="auto" w:fill="F1F5F9"/>
          </w:tcPr>
          <w:p>
            <w:r/>
            <w:r>
              <w:rPr>
                <w:color w:val="0F172A"/>
                <w:sz w:val="20"/>
              </w:rPr>
              <w:t>SPF/DKIM/DMARC PASS. No urgency language. Known domain. No new relationships.</w:t>
            </w:r>
          </w:p>
        </w:tc>
      </w:tr>
      <w:tr>
        <w:tc>
          <w:tcPr>
            <w:tcW w:type="dxa" w:w="2160"/>
            <w:shd w:val="clear" w:color="auto" w:fill="FFFFFF"/>
          </w:tcPr>
          <w:p>
            <w:r/>
            <w:r>
              <w:rPr>
                <w:color w:val="0F172A"/>
                <w:sz w:val="20"/>
              </w:rPr>
              <w:t>Thread-hijacked vendor invoice</w:t>
            </w:r>
          </w:p>
        </w:tc>
        <w:tc>
          <w:tcPr>
            <w:tcW w:type="dxa" w:w="1296"/>
            <w:shd w:val="clear" w:color="auto" w:fill="FFFFFF"/>
          </w:tcPr>
          <w:p>
            <w:r/>
            <w:r>
              <w:rPr>
                <w:color w:val="0F172A"/>
                <w:sz w:val="20"/>
              </w:rPr>
              <w:t>48.5 / 100</w:t>
            </w:r>
          </w:p>
        </w:tc>
        <w:tc>
          <w:tcPr>
            <w:tcW w:type="dxa" w:w="1152"/>
            <w:shd w:val="clear" w:color="auto" w:fill="FFFFFF"/>
          </w:tcPr>
          <w:p>
            <w:r/>
            <w:r>
              <w:rPr>
                <w:color w:val="0F172A"/>
                <w:sz w:val="20"/>
              </w:rPr>
              <w:t>MEDIUM</w:t>
            </w:r>
          </w:p>
        </w:tc>
        <w:tc>
          <w:tcPr>
            <w:tcW w:type="dxa" w:w="2016"/>
            <w:shd w:val="clear" w:color="auto" w:fill="FFFFFF"/>
          </w:tcPr>
          <w:p>
            <w:r/>
            <w:r>
              <w:rPr>
                <w:color w:val="0F172A"/>
                <w:sz w:val="20"/>
              </w:rPr>
              <w:t>POSSIBLE_COMPROMISE</w:t>
            </w:r>
          </w:p>
        </w:tc>
        <w:tc>
          <w:tcPr>
            <w:tcW w:type="dxa" w:w="2592"/>
            <w:shd w:val="clear" w:color="auto" w:fill="FFFFFF"/>
          </w:tcPr>
          <w:p>
            <w:r/>
            <w:r>
              <w:rPr>
                <w:color w:val="0F172A"/>
                <w:sz w:val="20"/>
              </w:rPr>
              <w:t>Typosquatted domain (Levenshtein distance 1). New recipient relationship. Mild financial language.</w:t>
            </w:r>
          </w:p>
        </w:tc>
      </w:tr>
      <w:tr>
        <w:tc>
          <w:tcPr>
            <w:tcW w:type="dxa" w:w="2160"/>
            <w:shd w:val="clear" w:color="auto" w:fill="F1F5F9"/>
          </w:tcPr>
          <w:p>
            <w:r/>
            <w:r>
              <w:rPr>
                <w:color w:val="0F172A"/>
                <w:sz w:val="20"/>
              </w:rPr>
              <w:t>Executive wire diversion attempt</w:t>
            </w:r>
          </w:p>
        </w:tc>
        <w:tc>
          <w:tcPr>
            <w:tcW w:type="dxa" w:w="1296"/>
            <w:shd w:val="clear" w:color="auto" w:fill="F1F5F9"/>
          </w:tcPr>
          <w:p>
            <w:r/>
            <w:r>
              <w:rPr>
                <w:color w:val="0F172A"/>
                <w:sz w:val="20"/>
              </w:rPr>
              <w:t>79.2 / 100</w:t>
            </w:r>
          </w:p>
        </w:tc>
        <w:tc>
          <w:tcPr>
            <w:tcW w:type="dxa" w:w="1152"/>
            <w:shd w:val="clear" w:color="auto" w:fill="F1F5F9"/>
          </w:tcPr>
          <w:p>
            <w:r/>
            <w:r>
              <w:rPr>
                <w:color w:val="0F172A"/>
                <w:sz w:val="20"/>
              </w:rPr>
              <w:t>HIGH</w:t>
            </w:r>
          </w:p>
        </w:tc>
        <w:tc>
          <w:tcPr>
            <w:tcW w:type="dxa" w:w="2016"/>
            <w:shd w:val="clear" w:color="auto" w:fill="F1F5F9"/>
          </w:tcPr>
          <w:p>
            <w:r/>
            <w:r>
              <w:rPr>
                <w:color w:val="0F172A"/>
                <w:sz w:val="20"/>
              </w:rPr>
              <w:t>POTENTIAL_SPOOFING</w:t>
            </w:r>
          </w:p>
        </w:tc>
        <w:tc>
          <w:tcPr>
            <w:tcW w:type="dxa" w:w="2592"/>
            <w:shd w:val="clear" w:color="auto" w:fill="F1F5F9"/>
          </w:tcPr>
          <w:p>
            <w:r/>
            <w:r>
              <w:rPr>
                <w:color w:val="0F172A"/>
                <w:sz w:val="20"/>
              </w:rPr>
              <w:t>SPF FAIL, DKIM FAIL, DMARC FAIL. Display-name spoofing. High urgency + financial NLP. Reply-To divergence. Attack chain Stages 1, 3, 4, 5, 6 CONFIRMED.</w:t>
            </w:r>
          </w:p>
        </w:tc>
      </w:tr>
      <w:tr>
        <w:tc>
          <w:tcPr>
            <w:tcW w:type="dxa" w:w="2160"/>
            <w:shd w:val="clear" w:color="auto" w:fill="FFFFFF"/>
          </w:tcPr>
          <w:p>
            <w:r/>
            <w:r>
              <w:rPr>
                <w:color w:val="0F172A"/>
                <w:sz w:val="20"/>
              </w:rPr>
              <w:t>Forwarded phishing lure (real-world)</w:t>
            </w:r>
          </w:p>
        </w:tc>
        <w:tc>
          <w:tcPr>
            <w:tcW w:type="dxa" w:w="1296"/>
            <w:shd w:val="clear" w:color="auto" w:fill="FFFFFF"/>
          </w:tcPr>
          <w:p>
            <w:r/>
            <w:r>
              <w:rPr>
                <w:color w:val="0F172A"/>
                <w:sz w:val="20"/>
              </w:rPr>
              <w:t>16.0 / 100</w:t>
            </w:r>
          </w:p>
        </w:tc>
        <w:tc>
          <w:tcPr>
            <w:tcW w:type="dxa" w:w="1152"/>
            <w:shd w:val="clear" w:color="auto" w:fill="FFFFFF"/>
          </w:tcPr>
          <w:p>
            <w:r/>
            <w:r>
              <w:rPr>
                <w:color w:val="0F172A"/>
                <w:sz w:val="20"/>
              </w:rPr>
              <w:t>LOW</w:t>
            </w:r>
          </w:p>
        </w:tc>
        <w:tc>
          <w:tcPr>
            <w:tcW w:type="dxa" w:w="2016"/>
            <w:shd w:val="clear" w:color="auto" w:fill="FFFFFF"/>
          </w:tcPr>
          <w:p>
            <w:r/>
            <w:r>
              <w:rPr>
                <w:color w:val="0F172A"/>
                <w:sz w:val="20"/>
              </w:rPr>
              <w:t>POSSIBLE_COMPROMISE</w:t>
            </w:r>
          </w:p>
        </w:tc>
        <w:tc>
          <w:tcPr>
            <w:tcW w:type="dxa" w:w="2592"/>
            <w:shd w:val="clear" w:color="auto" w:fill="FFFFFF"/>
          </w:tcPr>
          <w:p>
            <w:r/>
            <w:r>
              <w:rPr>
                <w:color w:val="0F172A"/>
                <w:sz w:val="20"/>
              </w:rPr>
              <w:t>SPF/DKIM/DMARC PASS (genuine Gmail account). Display name on free webmail domain. 2 new recipient relationships. HTTP link in body.</w:t>
            </w:r>
          </w:p>
        </w:tc>
      </w:tr>
    </w:tbl>
    <w:p>
      <w:pPr>
        <w:spacing w:before="200" w:after="80"/>
      </w:pPr>
      <w:r>
        <w:rPr>
          <w:b/>
          <w:color w:val="2C5F8A"/>
          <w:sz w:val="24"/>
        </w:rPr>
        <w:t>6.4 System Capabilities Demonstrated</w:t>
      </w:r>
    </w:p>
    <w:p>
      <w:pPr>
        <w:pStyle w:val="ListBullet"/>
        <w:spacing w:before="20" w:after="60"/>
      </w:pPr>
      <w:r>
        <w:rPr>
          <w:color w:val="0F172A"/>
          <w:sz w:val="22"/>
        </w:rPr>
        <w:t>Successfully ingested .eml, .zip (bulk), and .mbox (mailbox export) evidence formats.</w:t>
      </w:r>
    </w:p>
    <w:p>
      <w:pPr>
        <w:pStyle w:val="ListBullet"/>
        <w:spacing w:before="20" w:after="60"/>
      </w:pPr>
      <w:r>
        <w:rPr>
          <w:color w:val="0F172A"/>
          <w:sz w:val="22"/>
        </w:rPr>
        <w:t>SHA-256 chain-of-custody verified for all ingested evidence files.</w:t>
      </w:r>
    </w:p>
    <w:p>
      <w:pPr>
        <w:pStyle w:val="ListBullet"/>
        <w:spacing w:before="20" w:after="60"/>
      </w:pPr>
      <w:r>
        <w:rPr>
          <w:color w:val="0F172A"/>
          <w:sz w:val="22"/>
        </w:rPr>
        <w:t>Hop-by-hop MTA routing chronology reconstructed with RFC-1918 vs. public IP classification.</w:t>
      </w:r>
    </w:p>
    <w:p>
      <w:pPr>
        <w:pStyle w:val="ListBullet"/>
        <w:spacing w:before="20" w:after="60"/>
      </w:pPr>
      <w:r>
        <w:rPr>
          <w:color w:val="0F172A"/>
          <w:sz w:val="22"/>
        </w:rPr>
        <w:t>Sender fingerprint profiles compiled and identity drift scored from behavioural baselines.</w:t>
      </w:r>
    </w:p>
    <w:p>
      <w:pPr>
        <w:pStyle w:val="ListBullet"/>
        <w:spacing w:before="20" w:after="60"/>
      </w:pPr>
      <w:r>
        <w:rPr>
          <w:color w:val="0F172A"/>
          <w:sz w:val="22"/>
        </w:rPr>
        <w:t>Communication graph populated with directed edges and NEW_RELATIONSHIP flags on first-contact channels.</w:t>
      </w:r>
    </w:p>
    <w:p>
      <w:pPr>
        <w:pStyle w:val="ListBullet"/>
        <w:spacing w:before="20" w:after="60"/>
      </w:pPr>
      <w:r>
        <w:rPr>
          <w:color w:val="0F172A"/>
          <w:sz w:val="22"/>
        </w:rPr>
        <w:t>7-stage BEC kill-chain annotated per email with CONFIRMED/ABSENT stage status.</w:t>
      </w:r>
    </w:p>
    <w:p>
      <w:pPr>
        <w:pStyle w:val="ListBullet"/>
        <w:spacing w:before="20" w:after="60"/>
      </w:pPr>
      <w:r>
        <w:rPr>
          <w:color w:val="0F172A"/>
          <w:sz w:val="22"/>
        </w:rPr>
        <w:t>Counterfactual explanations generated and rendered in both the web console and PDF dossier.</w:t>
      </w:r>
    </w:p>
    <w:p>
      <w:pPr>
        <w:pStyle w:val="ListBullet"/>
        <w:spacing w:before="20" w:after="60"/>
      </w:pPr>
      <w:r>
        <w:rPr>
          <w:color w:val="0F172A"/>
          <w:sz w:val="22"/>
        </w:rPr>
        <w:t>Court-admissible PDF forensic dossier exported with all evidence metadata, findings, risk breakdown, and counterfactuals.</w:t>
      </w:r>
    </w:p>
    <w:p>
      <w:pPr>
        <w:pStyle w:val="ListBullet"/>
        <w:spacing w:before="20" w:after="60"/>
      </w:pPr>
      <w:r>
        <w:rPr>
          <w:color w:val="0F172A"/>
          <w:sz w:val="22"/>
        </w:rPr>
        <w:t>Web console fully functional across all 6 views: Dashboard, Evidence Acquisition, Forensic Dossier, Sender Intelligence, Communication Graph, Findings &amp; Anomalies.</w:t>
      </w:r>
    </w:p>
    <w:p>
      <w:r>
        <w:br w:type="page"/>
      </w:r>
    </w:p>
    <w:p>
      <w:pPr>
        <w:spacing w:before="400" w:after="120"/>
      </w:pPr>
      <w:r>
        <w:rPr>
          <w:b/>
          <w:color w:val="1E3A5F"/>
          <w:sz w:val="32"/>
        </w:rPr>
        <w:t>7. Conclusion</w:t>
      </w:r>
    </w:p>
    <w:p>
      <w:pPr>
        <w:spacing w:before="40" w:after="80" w:line="360" w:lineRule="auto"/>
      </w:pPr>
      <w:r>
        <w:rPr>
          <w:color w:val="0F172A"/>
          <w:sz w:val="22"/>
        </w:rPr>
        <w:t>BEC-FORGE demonstrates that Business Email Compromise attacks can be systematically investigated using deterministic, explainable forensic heuristics without any reliance on cloud-based threat intelligence, black-box machine learning, or external API services. The platform fills a documented gap in the available forensic tooling by combining ISO/IEC 27037 evidence handling, cryptographic authentication analysis, behavioural drift detection, communication graph topology, kill-chain reconstruction, and explainable risk scoring into a single cohesive, offline-capable forensic investigation platform.</w:t>
      </w:r>
    </w:p>
    <w:p>
      <w:pPr>
        <w:spacing w:before="40" w:after="80" w:line="360" w:lineRule="auto"/>
      </w:pPr>
      <w:r>
        <w:rPr>
          <w:color w:val="0F172A"/>
          <w:sz w:val="22"/>
        </w:rPr>
        <w:t>The five core forensic innovations collectively address the most challenging aspects of BEC forensics: detecting compromised legitimate accounts (Fingerprinting &amp; Drift), identifying attack vectors through relationship analysis (Communication Graph), classifying spoofing vs. compromise scenarios (Identity Consistency Engine), reconstructing attack progression (Kill-Chain Reconstruction), and providing court-defensible evidence rationale (Explainable Risk Engine).</w:t>
      </w:r>
    </w:p>
    <w:p>
      <w:pPr>
        <w:spacing w:before="40" w:after="80" w:line="360" w:lineRule="auto"/>
      </w:pPr>
      <w:r>
        <w:rPr>
          <w:color w:val="0F172A"/>
          <w:sz w:val="22"/>
        </w:rPr>
        <w:t>All 79 unit and integration tests pass. The platform has been validated against two public real-world forensic email corpora and produces consistent, explainable results across benign corporate communications, lookalike-domain attacks, and authenticated phishing lures from compromised accounts.</w:t>
      </w:r>
    </w:p>
    <w:p>
      <w:pPr>
        <w:spacing w:before="200" w:after="80"/>
      </w:pPr>
      <w:r>
        <w:rPr>
          <w:b/>
          <w:color w:val="2C5F8A"/>
          <w:sz w:val="24"/>
        </w:rPr>
        <w:t>7.1 Future Work</w:t>
      </w:r>
    </w:p>
    <w:p>
      <w:pPr>
        <w:pStyle w:val="ListBullet"/>
        <w:spacing w:before="20" w:after="60"/>
      </w:pPr>
      <w:r>
        <w:rPr>
          <w:color w:val="0F172A"/>
          <w:sz w:val="22"/>
        </w:rPr>
        <w:t>DKIM Selector Verification: Active DNS lookup of DKIM public key selectors to verify signature authenticity against the live DNS record.</w:t>
      </w:r>
    </w:p>
    <w:p>
      <w:pPr>
        <w:pStyle w:val="ListBullet"/>
        <w:spacing w:before="20" w:after="60"/>
      </w:pPr>
      <w:r>
        <w:rPr>
          <w:color w:val="0F172A"/>
          <w:sz w:val="22"/>
        </w:rPr>
        <w:t>Multi-Lingual BEC Vector Modelling: Extend NLP keyword vectors to cover BEC attacks conducted in French, German, Spanish, and Mandarin.</w:t>
      </w:r>
    </w:p>
    <w:p>
      <w:pPr>
        <w:pStyle w:val="ListBullet"/>
        <w:spacing w:before="20" w:after="60"/>
      </w:pPr>
      <w:r>
        <w:rPr>
          <w:color w:val="0F172A"/>
          <w:sz w:val="22"/>
        </w:rPr>
        <w:t>STIX/TAXII Threat Intelligence Integration: Import structured threat indicators from ISAC feeds and correlate with ingested sender domains and IPs.</w:t>
      </w:r>
    </w:p>
    <w:p>
      <w:pPr>
        <w:pStyle w:val="ListBullet"/>
        <w:spacing w:before="20" w:after="60"/>
      </w:pPr>
      <w:r>
        <w:rPr>
          <w:color w:val="0F172A"/>
          <w:sz w:val="22"/>
        </w:rPr>
        <w:t>Forensic Container Packaging: Export complete case evidence as an ISO/IEC 27042-compatible forensic container for inter-agency handover.</w:t>
      </w:r>
    </w:p>
    <w:p>
      <w:pPr>
        <w:pStyle w:val="ListBullet"/>
        <w:spacing w:before="20" w:after="60"/>
      </w:pPr>
      <w:r>
        <w:rPr>
          <w:color w:val="0F172A"/>
          <w:sz w:val="22"/>
        </w:rPr>
        <w:t>Expanded Scoring Corpus Calibration: Fit scoring weights against a large labelled BEC email corpus to empirically establish detection and false-positive rates.</w:t>
      </w:r>
    </w:p>
    <w:p>
      <w:pPr>
        <w:pStyle w:val="ListBullet"/>
        <w:spacing w:before="20" w:after="60"/>
      </w:pPr>
      <w:r>
        <w:rPr>
          <w:color w:val="0F172A"/>
          <w:sz w:val="22"/>
        </w:rPr>
        <w:t>Graph Temporal Analysis: Add timestamp-aware graph traversal to detect the evolution of communication patterns over time within a single investigation.</w:t>
      </w:r>
    </w:p>
    <w:p>
      <w:r>
        <w:br w:type="page"/>
      </w:r>
    </w:p>
    <w:p>
      <w:pPr>
        <w:spacing w:before="400" w:after="120"/>
      </w:pPr>
      <w:r>
        <w:rPr>
          <w:b/>
          <w:color w:val="1E3A5F"/>
          <w:sz w:val="32"/>
        </w:rPr>
        <w:t>8. Inference</w:t>
      </w:r>
    </w:p>
    <w:p>
      <w:pPr>
        <w:spacing w:before="200" w:after="80"/>
      </w:pPr>
      <w:r>
        <w:rPr>
          <w:b/>
          <w:color w:val="2C5F8A"/>
          <w:sz w:val="24"/>
        </w:rPr>
        <w:t>8.1 What the Evidence Supports</w:t>
      </w:r>
    </w:p>
    <w:p>
      <w:pPr>
        <w:pStyle w:val="ListBullet"/>
        <w:spacing w:before="20" w:after="60"/>
      </w:pPr>
      <w:r>
        <w:rPr>
          <w:color w:val="0F172A"/>
          <w:sz w:val="22"/>
        </w:rPr>
        <w:t>A working, end-to-end forensic pipeline that processes raw email evidence through acquisition, parsing, multi-vector analysis, and risk scoring with consistent, reproducible results.</w:t>
      </w:r>
    </w:p>
    <w:p>
      <w:pPr>
        <w:pStyle w:val="ListBullet"/>
        <w:spacing w:before="20" w:after="60"/>
      </w:pPr>
      <w:r>
        <w:rPr>
          <w:color w:val="0F172A"/>
          <w:sz w:val="22"/>
        </w:rPr>
        <w:t>Successful detection of display-name spoofing, domain lookalikes, authentication failures, and urgency language patterns across both synthetic benchmark cases and real-world phishing archives.</w:t>
      </w:r>
    </w:p>
    <w:p>
      <w:pPr>
        <w:pStyle w:val="ListBullet"/>
        <w:spacing w:before="20" w:after="60"/>
      </w:pPr>
      <w:r>
        <w:rPr>
          <w:color w:val="0F172A"/>
          <w:sz w:val="22"/>
        </w:rPr>
        <w:t>Identity drift detection capability that flags behavioural anomalies from known senders even when SPF, DKIM, and DMARC all pass — a scenario that defeats signature-based tools.</w:t>
      </w:r>
    </w:p>
    <w:p>
      <w:pPr>
        <w:pStyle w:val="ListBullet"/>
        <w:spacing w:before="20" w:after="60"/>
      </w:pPr>
      <w:r>
        <w:rPr>
          <w:color w:val="0F172A"/>
          <w:sz w:val="22"/>
        </w:rPr>
        <w:t>Kill-chain stage mapping that accurately distinguishes single isolated suspicious indicators from multi-stage coordinated BEC attack progressions.</w:t>
      </w:r>
    </w:p>
    <w:p>
      <w:pPr>
        <w:pStyle w:val="ListBullet"/>
        <w:spacing w:before="20" w:after="60"/>
      </w:pPr>
      <w:r>
        <w:rPr>
          <w:color w:val="0F172A"/>
          <w:sz w:val="22"/>
        </w:rPr>
        <w:t>Counterfactual risk explanations that provide forensic investigators with mathematically precise, court-defensible rationale for each risk assessment.</w:t>
      </w:r>
    </w:p>
    <w:p>
      <w:pPr>
        <w:pStyle w:val="ListBullet"/>
        <w:spacing w:before="20" w:after="60"/>
      </w:pPr>
      <w:r>
        <w:rPr>
          <w:color w:val="0F172A"/>
          <w:sz w:val="22"/>
        </w:rPr>
        <w:t>SHA-256 chain-of-custody integrity that detects on-disk tampering of evidence files, satisfying the core ISO/IEC 27037 requirement for digital evidence admissibility.</w:t>
      </w:r>
    </w:p>
    <w:p>
      <w:pPr>
        <w:spacing w:before="200" w:after="80"/>
      </w:pPr>
      <w:r>
        <w:rPr>
          <w:b/>
          <w:color w:val="2C5F8A"/>
          <w:sz w:val="24"/>
        </w:rPr>
        <w:t>8.2 Limitations and Threats to Validity</w:t>
      </w:r>
    </w:p>
    <w:p>
      <w:pPr>
        <w:pStyle w:val="ListBullet"/>
        <w:spacing w:before="20" w:after="60"/>
      </w:pPr>
      <w:r>
        <w:rPr>
          <w:color w:val="0F172A"/>
          <w:sz w:val="22"/>
        </w:rPr>
        <w:t>Hand-set scoring weights: All component weights and thresholds in config/settings.py were set by forensic domain reasoning rather than fitted to a large labelled dataset. Their values represent design parameters, not statistically estimated values.</w:t>
      </w:r>
    </w:p>
    <w:p>
      <w:pPr>
        <w:pStyle w:val="ListBullet"/>
        <w:spacing w:before="20" w:after="60"/>
      </w:pPr>
      <w:r>
        <w:rPr>
          <w:color w:val="0F172A"/>
          <w:sz w:val="22"/>
        </w:rPr>
        <w:t>No live payload decryption: The platform analyses RFC-822 headers and plain-text body content only. It cannot decrypt TLS-encrypted payloads or parse HTML-only emails without plain-text alternatives.</w:t>
      </w:r>
    </w:p>
    <w:p>
      <w:pPr>
        <w:pStyle w:val="ListBullet"/>
        <w:spacing w:before="20" w:after="60"/>
      </w:pPr>
      <w:r>
        <w:rPr>
          <w:color w:val="0F172A"/>
          <w:sz w:val="22"/>
        </w:rPr>
        <w:t>Fingerprint cold-start: Behavioural drift detection requires at least two or more prior emails from the same sender to establish a meaningful baseline. The first email always generates a drift score of 0.</w:t>
      </w:r>
    </w:p>
    <w:p>
      <w:pPr>
        <w:pStyle w:val="ListBullet"/>
        <w:spacing w:before="20" w:after="60"/>
      </w:pPr>
      <w:r>
        <w:rPr>
          <w:color w:val="0F172A"/>
          <w:sz w:val="22"/>
        </w:rPr>
        <w:t>Domain lookalike scoring requires reference domains: The typosquatting detector compares against the primary domain extracted from the email's own From header. Without a separate reference domain registry, it cannot catch all possible lookalikes.</w:t>
      </w:r>
    </w:p>
    <w:p>
      <w:pPr>
        <w:pStyle w:val="ListBullet"/>
        <w:spacing w:before="20" w:after="60"/>
      </w:pPr>
      <w:r>
        <w:rPr>
          <w:color w:val="0F172A"/>
          <w:sz w:val="22"/>
        </w:rPr>
        <w:t>No live DNS validation: DKIM selector lookups and SPF record verification are performed against the headers in the email itself, not against live DNS. A sophisticated attacker could forge header content if the email is not genuinely SMTP-received.</w:t>
      </w:r>
    </w:p>
    <w:p>
      <w:pPr>
        <w:pStyle w:val="ListBullet"/>
        <w:spacing w:before="20" w:after="60"/>
      </w:pPr>
      <w:r>
        <w:rPr>
          <w:color w:val="0F172A"/>
          <w:sz w:val="22"/>
        </w:rPr>
        <w:t>Single-device, single-user deployment: The platform is designed for single-investigator use per SQLite database file. Multi-investigator concurrent access requires a networked database backend.</w:t>
      </w:r>
    </w:p>
    <w:p>
      <w:pPr>
        <w:spacing w:before="200" w:after="80"/>
      </w:pPr>
      <w:r>
        <w:rPr>
          <w:b/>
          <w:color w:val="2C5F8A"/>
          <w:sz w:val="24"/>
        </w:rPr>
        <w:t>8.3 Ethical and Legal Considerations</w:t>
      </w:r>
    </w:p>
    <w:p>
      <w:pPr>
        <w:spacing w:before="40" w:after="80" w:line="360" w:lineRule="auto"/>
      </w:pPr>
      <w:r>
        <w:rPr>
          <w:color w:val="0F172A"/>
          <w:sz w:val="22"/>
        </w:rPr>
        <w:t>BEC-FORGE is designed exclusively for lawful digital forensic investigation of email evidence by authorised forensic examiners. The tool must only be used with proper legal authority to examine the email evidence in question. All evidence files ingested into the system should be treated as sensitive personal data, access should be restricted to authorised investigators, and files should be purged upon case closure according to applicable data retention policies.</w:t>
      </w:r>
    </w:p>
    <w:p>
      <w:pPr>
        <w:spacing w:before="40" w:after="80" w:line="360" w:lineRule="auto"/>
      </w:pPr>
      <w:r>
        <w:rPr>
          <w:color w:val="0F172A"/>
          <w:sz w:val="22"/>
        </w:rPr>
        <w:t>A verdict from BEC-FORGE is a forensic indicator to be pursued by a human investigator. The counterfactual explanations and forensic findings must be reviewed and validated by a qualified examiner before being relied upon in any formal proceeding. The tool is investigative triage, not standalone proof of criminal activity.</w:t>
      </w:r>
    </w:p>
    <w:p>
      <w:r>
        <w:br w:type="page"/>
      </w:r>
    </w:p>
    <w:p>
      <w:pPr>
        <w:spacing w:before="400" w:after="120"/>
      </w:pPr>
      <w:r>
        <w:rPr>
          <w:b/>
          <w:color w:val="1E3A5F"/>
          <w:sz w:val="32"/>
        </w:rPr>
        <w:t>9. References</w:t>
      </w:r>
    </w:p>
    <w:p>
      <w:pPr>
        <w:spacing w:before="40" w:after="80"/>
        <w:ind w:left="454" w:hanging="454"/>
      </w:pPr>
      <w:r>
        <w:rPr>
          <w:color w:val="0F172A"/>
          <w:sz w:val="20"/>
        </w:rPr>
        <w:t>[1] FBI Internet Crime Complaint Center (IC3), "2023 Internet Crime Report," Federal Bureau of Investigation, 2024. Available: https://www.ic3.gov/Media/PDF/AnnualReport/2023_IC3Report.pdf</w:t>
      </w:r>
    </w:p>
    <w:p>
      <w:pPr>
        <w:spacing w:before="40" w:after="80"/>
        <w:ind w:left="454" w:hanging="454"/>
      </w:pPr>
      <w:r>
        <w:rPr>
          <w:color w:val="0F172A"/>
          <w:sz w:val="20"/>
        </w:rPr>
        <w:t>[2] Internet Engineering Task Force (IETF), "RFC 7208 — Sender Policy Framework (SPF) for Authorizing Use of Domains in Email," April 2014. Available: https://tools.ietf.org/html/rfc7208</w:t>
      </w:r>
    </w:p>
    <w:p>
      <w:pPr>
        <w:spacing w:before="40" w:after="80"/>
        <w:ind w:left="454" w:hanging="454"/>
      </w:pPr>
      <w:r>
        <w:rPr>
          <w:color w:val="0F172A"/>
          <w:sz w:val="20"/>
        </w:rPr>
        <w:t>[3] IETF, "RFC 6376 — DomainKeys Identified Mail (DKIM) Signatures," September 2011. Available: https://tools.ietf.org/html/rfc6376</w:t>
      </w:r>
    </w:p>
    <w:p>
      <w:pPr>
        <w:spacing w:before="40" w:after="80"/>
        <w:ind w:left="454" w:hanging="454"/>
      </w:pPr>
      <w:r>
        <w:rPr>
          <w:color w:val="0F172A"/>
          <w:sz w:val="20"/>
        </w:rPr>
        <w:t>[4] IETF, "RFC 7489 — Domain-based Message Authentication, Reporting, and Conformance (DMARC)," March 2015. Available: https://tools.ietf.org/html/rfc7489</w:t>
      </w:r>
    </w:p>
    <w:p>
      <w:pPr>
        <w:spacing w:before="40" w:after="80"/>
        <w:ind w:left="454" w:hanging="454"/>
      </w:pPr>
      <w:r>
        <w:rPr>
          <w:color w:val="0F172A"/>
          <w:sz w:val="20"/>
        </w:rPr>
        <w:t>[5] IETF, "RFC 8617 — The Authenticated Received Chain (ARC) Protocol," July 2019. Available: https://tools.ietf.org/html/rfc8617</w:t>
      </w:r>
    </w:p>
    <w:p>
      <w:pPr>
        <w:spacing w:before="40" w:after="80"/>
        <w:ind w:left="454" w:hanging="454"/>
      </w:pPr>
      <w:r>
        <w:rPr>
          <w:color w:val="0F172A"/>
          <w:sz w:val="20"/>
        </w:rPr>
        <w:t>[6] ISO/IEC, "ISO/IEC 27037:2012 — Guidelines for identification, collection, acquisition and preservation of digital evidence," International Organization for Standardization, 2012.</w:t>
      </w:r>
    </w:p>
    <w:p>
      <w:pPr>
        <w:spacing w:before="40" w:after="80"/>
        <w:ind w:left="454" w:hanging="454"/>
      </w:pPr>
      <w:r>
        <w:rPr>
          <w:color w:val="0F172A"/>
          <w:sz w:val="20"/>
        </w:rPr>
        <w:t>[7] NetworkX Developers, "NetworkX: Network Analysis in Python," 2024. Available: https://networkx.org</w:t>
      </w:r>
    </w:p>
    <w:p>
      <w:pPr>
        <w:spacing w:before="40" w:after="80"/>
        <w:ind w:left="454" w:hanging="454"/>
      </w:pPr>
      <w:r>
        <w:rPr>
          <w:color w:val="0F172A"/>
          <w:sz w:val="20"/>
        </w:rPr>
        <w:t>[8] Cytoscape.js Contributors, "Cytoscape.js — Graph Theory Library for Visualisation and Analysis," 2024. Available: https://js.cytoscape.org</w:t>
      </w:r>
    </w:p>
    <w:p>
      <w:pPr>
        <w:spacing w:before="40" w:after="80"/>
        <w:ind w:left="454" w:hanging="454"/>
      </w:pPr>
      <w:r>
        <w:rPr>
          <w:color w:val="0F172A"/>
          <w:sz w:val="20"/>
        </w:rPr>
        <w:t>[9] S. Rao, A. Verma, and T. Bhatt, "A Review on Social Engineering Attacks: Phishing Attack Detection Using Machine Learning," Procedia Computer Science, vol. 167, pp. 2110–2124, 2020.</w:t>
      </w:r>
    </w:p>
    <w:p>
      <w:pPr>
        <w:spacing w:before="40" w:after="80"/>
        <w:ind w:left="454" w:hanging="454"/>
      </w:pPr>
      <w:r>
        <w:rPr>
          <w:color w:val="0F172A"/>
          <w:sz w:val="20"/>
        </w:rPr>
        <w:t>[10] V. Selis and A. Marshall, "A Semantic Approach for BEC Detection," in Proc. IEEE International Conference on Cyber Security and Protection of Digital Services, 2021.</w:t>
      </w:r>
    </w:p>
    <w:p>
      <w:pPr>
        <w:spacing w:before="40" w:after="80"/>
        <w:ind w:left="454" w:hanging="454"/>
      </w:pPr>
      <w:r>
        <w:rPr>
          <w:color w:val="0F172A"/>
          <w:sz w:val="20"/>
        </w:rPr>
        <w:t>[11] ReportLab Inc., "ReportLab PDF Library User Guide," 2024. Available: https://www.reportlab.com/docs/reportlab-userguide.pdf</w:t>
      </w:r>
    </w:p>
    <w:p>
      <w:pPr>
        <w:spacing w:before="40" w:after="80"/>
        <w:ind w:left="454" w:hanging="454"/>
      </w:pPr>
      <w:r>
        <w:rPr>
          <w:color w:val="0F172A"/>
          <w:sz w:val="20"/>
        </w:rPr>
        <w:t>[12] S. Ramachandran et al., "Email Authentication," IETF RFC 5321 — Simple Mail Transfer Protocol, 2008. Available: https://tools.ietf.org/html/rfc5321</w:t>
      </w:r>
    </w:p>
    <w:p>
      <w:pPr>
        <w:spacing w:before="40" w:after="80"/>
        <w:ind w:left="454" w:hanging="454"/>
      </w:pPr>
      <w:r>
        <w:rPr>
          <w:color w:val="0F172A"/>
          <w:sz w:val="20"/>
        </w:rPr>
        <w:t>[13] Apache Software Foundation, "Apache SpamAssassin Public Corpus," 2003. Available: https://spamassassin.apache.org/old/publiccorpus/</w:t>
      </w:r>
    </w:p>
    <w:p>
      <w:pPr>
        <w:spacing w:before="40" w:after="80"/>
        <w:ind w:left="454" w:hanging="454"/>
      </w:pPr>
      <w:r>
        <w:rPr>
          <w:color w:val="0F172A"/>
          <w:sz w:val="20"/>
        </w:rPr>
        <w:t>[14] J. Nazario, "Phishing Email Archive (MBOX format)," monkey.org, 2006. Available: https://monkey.org/~jose/phishing/</w:t>
      </w:r>
    </w:p>
    <w:p>
      <w:r>
        <w:br w:type="page"/>
      </w:r>
    </w:p>
    <w:p>
      <w:pPr>
        <w:spacing w:before="400" w:after="120"/>
      </w:pPr>
      <w:r>
        <w:rPr>
          <w:b/>
          <w:color w:val="1E3A5F"/>
          <w:sz w:val="32"/>
        </w:rPr>
        <w:t>Appendix A — Scoring Parameters &amp; Weights</w:t>
      </w:r>
    </w:p>
    <w:p>
      <w:pPr>
        <w:spacing w:before="40" w:after="80" w:line="360" w:lineRule="auto"/>
      </w:pPr>
      <w:r>
        <w:rPr>
          <w:color w:val="0F172A"/>
          <w:sz w:val="22"/>
        </w:rPr>
        <w:t>All values are set in config/settings.py and represent design parameters, not statistically fitted values.</w:t>
      </w:r>
    </w:p>
    <w:tbl>
      <w:tblPr>
        <w:tblStyle w:val="TableGrid"/>
        <w:tblW w:type="auto" w:w="0"/>
        <w:tblLayout w:type="fixed"/>
        <w:tblLook w:firstColumn="1" w:firstRow="1" w:lastColumn="0" w:lastRow="0" w:noHBand="0" w:noVBand="1" w:val="04A0"/>
      </w:tblPr>
      <w:tblGrid>
        <w:gridCol w:w="2266"/>
        <w:gridCol w:w="2266"/>
        <w:gridCol w:w="2266"/>
        <w:gridCol w:w="2266"/>
      </w:tblGrid>
      <w:tr>
        <w:tc>
          <w:tcPr>
            <w:tcW w:type="dxa" w:w="2160"/>
            <w:shd w:val="clear" w:color="auto" w:fill="1E3A5F"/>
          </w:tcPr>
          <w:p>
            <w:r/>
            <w:r>
              <w:rPr>
                <w:b/>
                <w:color w:val="FFFFFF"/>
                <w:sz w:val="20"/>
              </w:rPr>
              <w:t>Parameter</w:t>
            </w:r>
          </w:p>
        </w:tc>
        <w:tc>
          <w:tcPr>
            <w:tcW w:type="dxa" w:w="1728"/>
            <w:shd w:val="clear" w:color="auto" w:fill="1E3A5F"/>
          </w:tcPr>
          <w:p>
            <w:r/>
            <w:r>
              <w:rPr>
                <w:b/>
                <w:color w:val="FFFFFF"/>
                <w:sz w:val="20"/>
              </w:rPr>
              <w:t>Default Value</w:t>
            </w:r>
          </w:p>
        </w:tc>
        <w:tc>
          <w:tcPr>
            <w:tcW w:type="dxa" w:w="2880"/>
            <w:shd w:val="clear" w:color="auto" w:fill="1E3A5F"/>
          </w:tcPr>
          <w:p>
            <w:r/>
            <w:r>
              <w:rPr>
                <w:b/>
                <w:color w:val="FFFFFF"/>
                <w:sz w:val="20"/>
              </w:rPr>
              <w:t>Location</w:t>
            </w:r>
          </w:p>
        </w:tc>
        <w:tc>
          <w:tcPr>
            <w:tcW w:type="dxa" w:w="2448"/>
            <w:shd w:val="clear" w:color="auto" w:fill="1E3A5F"/>
          </w:tcPr>
          <w:p>
            <w:r/>
            <w:r>
              <w:rPr>
                <w:b/>
                <w:color w:val="FFFFFF"/>
                <w:sz w:val="20"/>
              </w:rPr>
              <w:t>Description</w:t>
            </w:r>
          </w:p>
        </w:tc>
      </w:tr>
      <w:tr>
        <w:tc>
          <w:tcPr>
            <w:tcW w:type="dxa" w:w="2160"/>
            <w:shd w:val="clear" w:color="auto" w:fill="F1F5F9"/>
          </w:tcPr>
          <w:p>
            <w:r/>
            <w:r>
              <w:rPr>
                <w:color w:val="0F172A"/>
                <w:sz w:val="20"/>
              </w:rPr>
              <w:t>header_weight</w:t>
            </w:r>
          </w:p>
        </w:tc>
        <w:tc>
          <w:tcPr>
            <w:tcW w:type="dxa" w:w="1728"/>
            <w:shd w:val="clear" w:color="auto" w:fill="F1F5F9"/>
          </w:tcPr>
          <w:p>
            <w:r/>
            <w:r>
              <w:rPr>
                <w:color w:val="0F172A"/>
                <w:sz w:val="20"/>
              </w:rPr>
              <w:t>0.15</w:t>
            </w:r>
          </w:p>
        </w:tc>
        <w:tc>
          <w:tcPr>
            <w:tcW w:type="dxa" w:w="2880"/>
            <w:shd w:val="clear" w:color="auto" w:fill="F1F5F9"/>
          </w:tcPr>
          <w:p>
            <w:r/>
            <w:r>
              <w:rPr>
                <w:color w:val="0F172A"/>
                <w:sz w:val="20"/>
              </w:rPr>
              <w:t>config/settings.py</w:t>
            </w:r>
          </w:p>
        </w:tc>
        <w:tc>
          <w:tcPr>
            <w:tcW w:type="dxa" w:w="2448"/>
            <w:shd w:val="clear" w:color="auto" w:fill="F1F5F9"/>
          </w:tcPr>
          <w:p>
            <w:r/>
            <w:r>
              <w:rPr>
                <w:color w:val="0F172A"/>
                <w:sz w:val="20"/>
              </w:rPr>
              <w:t>Weight for Reply-To mismatch, display-name spoofing.</w:t>
            </w:r>
          </w:p>
        </w:tc>
      </w:tr>
      <w:tr>
        <w:tc>
          <w:tcPr>
            <w:tcW w:type="dxa" w:w="2160"/>
            <w:shd w:val="clear" w:color="auto" w:fill="FFFFFF"/>
          </w:tcPr>
          <w:p>
            <w:r/>
            <w:r>
              <w:rPr>
                <w:color w:val="0F172A"/>
                <w:sz w:val="20"/>
              </w:rPr>
              <w:t>auth_weight</w:t>
            </w:r>
          </w:p>
        </w:tc>
        <w:tc>
          <w:tcPr>
            <w:tcW w:type="dxa" w:w="1728"/>
            <w:shd w:val="clear" w:color="auto" w:fill="FFFFFF"/>
          </w:tcPr>
          <w:p>
            <w:r/>
            <w:r>
              <w:rPr>
                <w:color w:val="0F172A"/>
                <w:sz w:val="20"/>
              </w:rPr>
              <w:t>0.20</w:t>
            </w:r>
          </w:p>
        </w:tc>
        <w:tc>
          <w:tcPr>
            <w:tcW w:type="dxa" w:w="2880"/>
            <w:shd w:val="clear" w:color="auto" w:fill="FFFFFF"/>
          </w:tcPr>
          <w:p>
            <w:r/>
            <w:r>
              <w:rPr>
                <w:color w:val="0F172A"/>
                <w:sz w:val="20"/>
              </w:rPr>
              <w:t>config/settings.py</w:t>
            </w:r>
          </w:p>
        </w:tc>
        <w:tc>
          <w:tcPr>
            <w:tcW w:type="dxa" w:w="2448"/>
            <w:shd w:val="clear" w:color="auto" w:fill="FFFFFF"/>
          </w:tcPr>
          <w:p>
            <w:r/>
            <w:r>
              <w:rPr>
                <w:color w:val="0F172A"/>
                <w:sz w:val="20"/>
              </w:rPr>
              <w:t>Weight for SPF/DKIM/DMARC/ARC failure score.</w:t>
            </w:r>
          </w:p>
        </w:tc>
      </w:tr>
      <w:tr>
        <w:tc>
          <w:tcPr>
            <w:tcW w:type="dxa" w:w="2160"/>
            <w:shd w:val="clear" w:color="auto" w:fill="F1F5F9"/>
          </w:tcPr>
          <w:p>
            <w:r/>
            <w:r>
              <w:rPr>
                <w:color w:val="0F172A"/>
                <w:sz w:val="20"/>
              </w:rPr>
              <w:t>domain_weight</w:t>
            </w:r>
          </w:p>
        </w:tc>
        <w:tc>
          <w:tcPr>
            <w:tcW w:type="dxa" w:w="1728"/>
            <w:shd w:val="clear" w:color="auto" w:fill="F1F5F9"/>
          </w:tcPr>
          <w:p>
            <w:r/>
            <w:r>
              <w:rPr>
                <w:color w:val="0F172A"/>
                <w:sz w:val="20"/>
              </w:rPr>
              <w:t>0.15</w:t>
            </w:r>
          </w:p>
        </w:tc>
        <w:tc>
          <w:tcPr>
            <w:tcW w:type="dxa" w:w="2880"/>
            <w:shd w:val="clear" w:color="auto" w:fill="F1F5F9"/>
          </w:tcPr>
          <w:p>
            <w:r/>
            <w:r>
              <w:rPr>
                <w:color w:val="0F172A"/>
                <w:sz w:val="20"/>
              </w:rPr>
              <w:t>config/settings.py</w:t>
            </w:r>
          </w:p>
        </w:tc>
        <w:tc>
          <w:tcPr>
            <w:tcW w:type="dxa" w:w="2448"/>
            <w:shd w:val="clear" w:color="auto" w:fill="F1F5F9"/>
          </w:tcPr>
          <w:p>
            <w:r/>
            <w:r>
              <w:rPr>
                <w:color w:val="0F172A"/>
                <w:sz w:val="20"/>
              </w:rPr>
              <w:t>Weight for domain lookalike / typosquatting score.</w:t>
            </w:r>
          </w:p>
        </w:tc>
      </w:tr>
      <w:tr>
        <w:tc>
          <w:tcPr>
            <w:tcW w:type="dxa" w:w="2160"/>
            <w:shd w:val="clear" w:color="auto" w:fill="FFFFFF"/>
          </w:tcPr>
          <w:p>
            <w:r/>
            <w:r>
              <w:rPr>
                <w:color w:val="0F172A"/>
                <w:sz w:val="20"/>
              </w:rPr>
              <w:t>routing_weight</w:t>
            </w:r>
          </w:p>
        </w:tc>
        <w:tc>
          <w:tcPr>
            <w:tcW w:type="dxa" w:w="1728"/>
            <w:shd w:val="clear" w:color="auto" w:fill="FFFFFF"/>
          </w:tcPr>
          <w:p>
            <w:r/>
            <w:r>
              <w:rPr>
                <w:color w:val="0F172A"/>
                <w:sz w:val="20"/>
              </w:rPr>
              <w:t>0.05</w:t>
            </w:r>
          </w:p>
        </w:tc>
        <w:tc>
          <w:tcPr>
            <w:tcW w:type="dxa" w:w="2880"/>
            <w:shd w:val="clear" w:color="auto" w:fill="FFFFFF"/>
          </w:tcPr>
          <w:p>
            <w:r/>
            <w:r>
              <w:rPr>
                <w:color w:val="0F172A"/>
                <w:sz w:val="20"/>
              </w:rPr>
              <w:t>config/settings.py</w:t>
            </w:r>
          </w:p>
        </w:tc>
        <w:tc>
          <w:tcPr>
            <w:tcW w:type="dxa" w:w="2448"/>
            <w:shd w:val="clear" w:color="auto" w:fill="FFFFFF"/>
          </w:tcPr>
          <w:p>
            <w:r/>
            <w:r>
              <w:rPr>
                <w:color w:val="0F172A"/>
                <w:sz w:val="20"/>
              </w:rPr>
              <w:t>Weight for MTA hop anomalies and relay delays.</w:t>
            </w:r>
          </w:p>
        </w:tc>
      </w:tr>
      <w:tr>
        <w:tc>
          <w:tcPr>
            <w:tcW w:type="dxa" w:w="2160"/>
            <w:shd w:val="clear" w:color="auto" w:fill="F1F5F9"/>
          </w:tcPr>
          <w:p>
            <w:r/>
            <w:r>
              <w:rPr>
                <w:color w:val="0F172A"/>
                <w:sz w:val="20"/>
              </w:rPr>
              <w:t>nlp_urgency_weight</w:t>
            </w:r>
          </w:p>
        </w:tc>
        <w:tc>
          <w:tcPr>
            <w:tcW w:type="dxa" w:w="1728"/>
            <w:shd w:val="clear" w:color="auto" w:fill="F1F5F9"/>
          </w:tcPr>
          <w:p>
            <w:r/>
            <w:r>
              <w:rPr>
                <w:color w:val="0F172A"/>
                <w:sz w:val="20"/>
              </w:rPr>
              <w:t>0.10</w:t>
            </w:r>
          </w:p>
        </w:tc>
        <w:tc>
          <w:tcPr>
            <w:tcW w:type="dxa" w:w="2880"/>
            <w:shd w:val="clear" w:color="auto" w:fill="F1F5F9"/>
          </w:tcPr>
          <w:p>
            <w:r/>
            <w:r>
              <w:rPr>
                <w:color w:val="0F172A"/>
                <w:sz w:val="20"/>
              </w:rPr>
              <w:t>config/settings.py</w:t>
            </w:r>
          </w:p>
        </w:tc>
        <w:tc>
          <w:tcPr>
            <w:tcW w:type="dxa" w:w="2448"/>
            <w:shd w:val="clear" w:color="auto" w:fill="F1F5F9"/>
          </w:tcPr>
          <w:p>
            <w:r/>
            <w:r>
              <w:rPr>
                <w:color w:val="0F172A"/>
                <w:sz w:val="20"/>
              </w:rPr>
              <w:t>Weight for urgency language NLP vector.</w:t>
            </w:r>
          </w:p>
        </w:tc>
      </w:tr>
      <w:tr>
        <w:tc>
          <w:tcPr>
            <w:tcW w:type="dxa" w:w="2160"/>
            <w:shd w:val="clear" w:color="auto" w:fill="FFFFFF"/>
          </w:tcPr>
          <w:p>
            <w:r/>
            <w:r>
              <w:rPr>
                <w:color w:val="0F172A"/>
                <w:sz w:val="20"/>
              </w:rPr>
              <w:t>nlp_financial_weight</w:t>
            </w:r>
          </w:p>
        </w:tc>
        <w:tc>
          <w:tcPr>
            <w:tcW w:type="dxa" w:w="1728"/>
            <w:shd w:val="clear" w:color="auto" w:fill="FFFFFF"/>
          </w:tcPr>
          <w:p>
            <w:r/>
            <w:r>
              <w:rPr>
                <w:color w:val="0F172A"/>
                <w:sz w:val="20"/>
              </w:rPr>
              <w:t>0.10</w:t>
            </w:r>
          </w:p>
        </w:tc>
        <w:tc>
          <w:tcPr>
            <w:tcW w:type="dxa" w:w="2880"/>
            <w:shd w:val="clear" w:color="auto" w:fill="FFFFFF"/>
          </w:tcPr>
          <w:p>
            <w:r/>
            <w:r>
              <w:rPr>
                <w:color w:val="0F172A"/>
                <w:sz w:val="20"/>
              </w:rPr>
              <w:t>config/settings.py</w:t>
            </w:r>
          </w:p>
        </w:tc>
        <w:tc>
          <w:tcPr>
            <w:tcW w:type="dxa" w:w="2448"/>
            <w:shd w:val="clear" w:color="auto" w:fill="FFFFFF"/>
          </w:tcPr>
          <w:p>
            <w:r/>
            <w:r>
              <w:rPr>
                <w:color w:val="0F172A"/>
                <w:sz w:val="20"/>
              </w:rPr>
              <w:t>Weight for financial language NLP vector.</w:t>
            </w:r>
          </w:p>
        </w:tc>
      </w:tr>
      <w:tr>
        <w:tc>
          <w:tcPr>
            <w:tcW w:type="dxa" w:w="2160"/>
            <w:shd w:val="clear" w:color="auto" w:fill="F1F5F9"/>
          </w:tcPr>
          <w:p>
            <w:r/>
            <w:r>
              <w:rPr>
                <w:color w:val="0F172A"/>
                <w:sz w:val="20"/>
              </w:rPr>
              <w:t>nlp_secrecy_weight</w:t>
            </w:r>
          </w:p>
        </w:tc>
        <w:tc>
          <w:tcPr>
            <w:tcW w:type="dxa" w:w="1728"/>
            <w:shd w:val="clear" w:color="auto" w:fill="F1F5F9"/>
          </w:tcPr>
          <w:p>
            <w:r/>
            <w:r>
              <w:rPr>
                <w:color w:val="0F172A"/>
                <w:sz w:val="20"/>
              </w:rPr>
              <w:t>0.05</w:t>
            </w:r>
          </w:p>
        </w:tc>
        <w:tc>
          <w:tcPr>
            <w:tcW w:type="dxa" w:w="2880"/>
            <w:shd w:val="clear" w:color="auto" w:fill="F1F5F9"/>
          </w:tcPr>
          <w:p>
            <w:r/>
            <w:r>
              <w:rPr>
                <w:color w:val="0F172A"/>
                <w:sz w:val="20"/>
              </w:rPr>
              <w:t>config/settings.py</w:t>
            </w:r>
          </w:p>
        </w:tc>
        <w:tc>
          <w:tcPr>
            <w:tcW w:type="dxa" w:w="2448"/>
            <w:shd w:val="clear" w:color="auto" w:fill="F1F5F9"/>
          </w:tcPr>
          <w:p>
            <w:r/>
            <w:r>
              <w:rPr>
                <w:color w:val="0F172A"/>
                <w:sz w:val="20"/>
              </w:rPr>
              <w:t>Weight for secrecy/confidentiality language.</w:t>
            </w:r>
          </w:p>
        </w:tc>
      </w:tr>
      <w:tr>
        <w:tc>
          <w:tcPr>
            <w:tcW w:type="dxa" w:w="2160"/>
            <w:shd w:val="clear" w:color="auto" w:fill="FFFFFF"/>
          </w:tcPr>
          <w:p>
            <w:r/>
            <w:r>
              <w:rPr>
                <w:color w:val="0F172A"/>
                <w:sz w:val="20"/>
              </w:rPr>
              <w:t>drift_weight</w:t>
            </w:r>
          </w:p>
        </w:tc>
        <w:tc>
          <w:tcPr>
            <w:tcW w:type="dxa" w:w="1728"/>
            <w:shd w:val="clear" w:color="auto" w:fill="FFFFFF"/>
          </w:tcPr>
          <w:p>
            <w:r/>
            <w:r>
              <w:rPr>
                <w:color w:val="0F172A"/>
                <w:sz w:val="20"/>
              </w:rPr>
              <w:t>0.10</w:t>
            </w:r>
          </w:p>
        </w:tc>
        <w:tc>
          <w:tcPr>
            <w:tcW w:type="dxa" w:w="2880"/>
            <w:shd w:val="clear" w:color="auto" w:fill="FFFFFF"/>
          </w:tcPr>
          <w:p>
            <w:r/>
            <w:r>
              <w:rPr>
                <w:color w:val="0F172A"/>
                <w:sz w:val="20"/>
              </w:rPr>
              <w:t>config/settings.py</w:t>
            </w:r>
          </w:p>
        </w:tc>
        <w:tc>
          <w:tcPr>
            <w:tcW w:type="dxa" w:w="2448"/>
            <w:shd w:val="clear" w:color="auto" w:fill="FFFFFF"/>
          </w:tcPr>
          <w:p>
            <w:r/>
            <w:r>
              <w:rPr>
                <w:color w:val="0F172A"/>
                <w:sz w:val="20"/>
              </w:rPr>
              <w:t>Weight for identity drift Z-score.</w:t>
            </w:r>
          </w:p>
        </w:tc>
      </w:tr>
      <w:tr>
        <w:tc>
          <w:tcPr>
            <w:tcW w:type="dxa" w:w="2160"/>
            <w:shd w:val="clear" w:color="auto" w:fill="F1F5F9"/>
          </w:tcPr>
          <w:p>
            <w:r/>
            <w:r>
              <w:rPr>
                <w:color w:val="0F172A"/>
                <w:sz w:val="20"/>
              </w:rPr>
              <w:t>graph_weight</w:t>
            </w:r>
          </w:p>
        </w:tc>
        <w:tc>
          <w:tcPr>
            <w:tcW w:type="dxa" w:w="1728"/>
            <w:shd w:val="clear" w:color="auto" w:fill="F1F5F9"/>
          </w:tcPr>
          <w:p>
            <w:r/>
            <w:r>
              <w:rPr>
                <w:color w:val="0F172A"/>
                <w:sz w:val="20"/>
              </w:rPr>
              <w:t>0.05</w:t>
            </w:r>
          </w:p>
        </w:tc>
        <w:tc>
          <w:tcPr>
            <w:tcW w:type="dxa" w:w="2880"/>
            <w:shd w:val="clear" w:color="auto" w:fill="F1F5F9"/>
          </w:tcPr>
          <w:p>
            <w:r/>
            <w:r>
              <w:rPr>
                <w:color w:val="0F172A"/>
                <w:sz w:val="20"/>
              </w:rPr>
              <w:t>config/settings.py</w:t>
            </w:r>
          </w:p>
        </w:tc>
        <w:tc>
          <w:tcPr>
            <w:tcW w:type="dxa" w:w="2448"/>
            <w:shd w:val="clear" w:color="auto" w:fill="F1F5F9"/>
          </w:tcPr>
          <w:p>
            <w:r/>
            <w:r>
              <w:rPr>
                <w:color w:val="0F172A"/>
                <w:sz w:val="20"/>
              </w:rPr>
              <w:t>Weight for new communication relationship flag.</w:t>
            </w:r>
          </w:p>
        </w:tc>
      </w:tr>
      <w:tr>
        <w:tc>
          <w:tcPr>
            <w:tcW w:type="dxa" w:w="2160"/>
            <w:shd w:val="clear" w:color="auto" w:fill="FFFFFF"/>
          </w:tcPr>
          <w:p>
            <w:r/>
            <w:r>
              <w:rPr>
                <w:color w:val="0F172A"/>
                <w:sz w:val="20"/>
              </w:rPr>
              <w:t>hijack_weight</w:t>
            </w:r>
          </w:p>
        </w:tc>
        <w:tc>
          <w:tcPr>
            <w:tcW w:type="dxa" w:w="1728"/>
            <w:shd w:val="clear" w:color="auto" w:fill="FFFFFF"/>
          </w:tcPr>
          <w:p>
            <w:r/>
            <w:r>
              <w:rPr>
                <w:color w:val="0F172A"/>
                <w:sz w:val="20"/>
              </w:rPr>
              <w:t>0.03</w:t>
            </w:r>
          </w:p>
        </w:tc>
        <w:tc>
          <w:tcPr>
            <w:tcW w:type="dxa" w:w="2880"/>
            <w:shd w:val="clear" w:color="auto" w:fill="FFFFFF"/>
          </w:tcPr>
          <w:p>
            <w:r/>
            <w:r>
              <w:rPr>
                <w:color w:val="0F172A"/>
                <w:sz w:val="20"/>
              </w:rPr>
              <w:t>config/settings.py</w:t>
            </w:r>
          </w:p>
        </w:tc>
        <w:tc>
          <w:tcPr>
            <w:tcW w:type="dxa" w:w="2448"/>
            <w:shd w:val="clear" w:color="auto" w:fill="FFFFFF"/>
          </w:tcPr>
          <w:p>
            <w:r/>
            <w:r>
              <w:rPr>
                <w:color w:val="0F172A"/>
                <w:sz w:val="20"/>
              </w:rPr>
              <w:t>Weight for conversation hijacking detection.</w:t>
            </w:r>
          </w:p>
        </w:tc>
      </w:tr>
      <w:tr>
        <w:tc>
          <w:tcPr>
            <w:tcW w:type="dxa" w:w="2160"/>
            <w:shd w:val="clear" w:color="auto" w:fill="F1F5F9"/>
          </w:tcPr>
          <w:p>
            <w:r/>
            <w:r>
              <w:rPr>
                <w:color w:val="0F172A"/>
                <w:sz w:val="20"/>
              </w:rPr>
              <w:t>attachment_weight</w:t>
            </w:r>
          </w:p>
        </w:tc>
        <w:tc>
          <w:tcPr>
            <w:tcW w:type="dxa" w:w="1728"/>
            <w:shd w:val="clear" w:color="auto" w:fill="F1F5F9"/>
          </w:tcPr>
          <w:p>
            <w:r/>
            <w:r>
              <w:rPr>
                <w:color w:val="0F172A"/>
                <w:sz w:val="20"/>
              </w:rPr>
              <w:t>0.02</w:t>
            </w:r>
          </w:p>
        </w:tc>
        <w:tc>
          <w:tcPr>
            <w:tcW w:type="dxa" w:w="2880"/>
            <w:shd w:val="clear" w:color="auto" w:fill="F1F5F9"/>
          </w:tcPr>
          <w:p>
            <w:r/>
            <w:r>
              <w:rPr>
                <w:color w:val="0F172A"/>
                <w:sz w:val="20"/>
              </w:rPr>
              <w:t>config/settings.py</w:t>
            </w:r>
          </w:p>
        </w:tc>
        <w:tc>
          <w:tcPr>
            <w:tcW w:type="dxa" w:w="2448"/>
            <w:shd w:val="clear" w:color="auto" w:fill="F1F5F9"/>
          </w:tcPr>
          <w:p>
            <w:r/>
            <w:r>
              <w:rPr>
                <w:color w:val="0F172A"/>
                <w:sz w:val="20"/>
              </w:rPr>
              <w:t>Weight for suspicious attachment detection.</w:t>
            </w:r>
          </w:p>
        </w:tc>
      </w:tr>
      <w:tr>
        <w:tc>
          <w:tcPr>
            <w:tcW w:type="dxa" w:w="2160"/>
            <w:shd w:val="clear" w:color="auto" w:fill="FFFFFF"/>
          </w:tcPr>
          <w:p>
            <w:r/>
            <w:r>
              <w:rPr>
                <w:color w:val="0F172A"/>
                <w:sz w:val="20"/>
              </w:rPr>
              <w:t>Lookalike threshold</w:t>
            </w:r>
          </w:p>
        </w:tc>
        <w:tc>
          <w:tcPr>
            <w:tcW w:type="dxa" w:w="1728"/>
            <w:shd w:val="clear" w:color="auto" w:fill="FFFFFF"/>
          </w:tcPr>
          <w:p>
            <w:r/>
            <w:r>
              <w:rPr>
                <w:color w:val="0F172A"/>
                <w:sz w:val="20"/>
              </w:rPr>
              <w:t>≥ 0.80 similarity</w:t>
            </w:r>
          </w:p>
        </w:tc>
        <w:tc>
          <w:tcPr>
            <w:tcW w:type="dxa" w:w="2880"/>
            <w:shd w:val="clear" w:color="auto" w:fill="FFFFFF"/>
          </w:tcPr>
          <w:p>
            <w:r/>
            <w:r>
              <w:rPr>
                <w:color w:val="0F172A"/>
                <w:sz w:val="20"/>
              </w:rPr>
              <w:t>analysis/domain_analysis.py</w:t>
            </w:r>
          </w:p>
        </w:tc>
        <w:tc>
          <w:tcPr>
            <w:tcW w:type="dxa" w:w="2448"/>
            <w:shd w:val="clear" w:color="auto" w:fill="FFFFFF"/>
          </w:tcPr>
          <w:p>
            <w:r/>
            <w:r>
              <w:rPr>
                <w:color w:val="0F172A"/>
                <w:sz w:val="20"/>
              </w:rPr>
              <w:t>Levenshtein similarity above which a domain is flagged as lookalike.</w:t>
            </w:r>
          </w:p>
        </w:tc>
      </w:tr>
      <w:tr>
        <w:tc>
          <w:tcPr>
            <w:tcW w:type="dxa" w:w="2160"/>
            <w:shd w:val="clear" w:color="auto" w:fill="F1F5F9"/>
          </w:tcPr>
          <w:p>
            <w:r/>
            <w:r>
              <w:rPr>
                <w:color w:val="0F172A"/>
                <w:sz w:val="20"/>
              </w:rPr>
              <w:t>Drift CRITICAL</w:t>
            </w:r>
          </w:p>
        </w:tc>
        <w:tc>
          <w:tcPr>
            <w:tcW w:type="dxa" w:w="1728"/>
            <w:shd w:val="clear" w:color="auto" w:fill="F1F5F9"/>
          </w:tcPr>
          <w:p>
            <w:r/>
            <w:r>
              <w:rPr>
                <w:color w:val="0F172A"/>
                <w:sz w:val="20"/>
              </w:rPr>
              <w:t>≥ 75</w:t>
            </w:r>
          </w:p>
        </w:tc>
        <w:tc>
          <w:tcPr>
            <w:tcW w:type="dxa" w:w="2880"/>
            <w:shd w:val="clear" w:color="auto" w:fill="F1F5F9"/>
          </w:tcPr>
          <w:p>
            <w:r/>
            <w:r>
              <w:rPr>
                <w:color w:val="0F172A"/>
                <w:sz w:val="20"/>
              </w:rPr>
              <w:t>behavioral/fingerprint.py</w:t>
            </w:r>
          </w:p>
        </w:tc>
        <w:tc>
          <w:tcPr>
            <w:tcW w:type="dxa" w:w="2448"/>
            <w:shd w:val="clear" w:color="auto" w:fill="F1F5F9"/>
          </w:tcPr>
          <w:p>
            <w:r/>
            <w:r>
              <w:rPr>
                <w:color w:val="0F172A"/>
                <w:sz w:val="20"/>
              </w:rPr>
              <w:t>Identity drift score threshold for CRITICAL severity.</w:t>
            </w:r>
          </w:p>
        </w:tc>
      </w:tr>
      <w:tr>
        <w:tc>
          <w:tcPr>
            <w:tcW w:type="dxa" w:w="2160"/>
            <w:shd w:val="clear" w:color="auto" w:fill="FFFFFF"/>
          </w:tcPr>
          <w:p>
            <w:r/>
            <w:r>
              <w:rPr>
                <w:color w:val="0F172A"/>
                <w:sz w:val="20"/>
              </w:rPr>
              <w:t>Drift HIGH</w:t>
            </w:r>
          </w:p>
        </w:tc>
        <w:tc>
          <w:tcPr>
            <w:tcW w:type="dxa" w:w="1728"/>
            <w:shd w:val="clear" w:color="auto" w:fill="FFFFFF"/>
          </w:tcPr>
          <w:p>
            <w:r/>
            <w:r>
              <w:rPr>
                <w:color w:val="0F172A"/>
                <w:sz w:val="20"/>
              </w:rPr>
              <w:t>≥ 50</w:t>
            </w:r>
          </w:p>
        </w:tc>
        <w:tc>
          <w:tcPr>
            <w:tcW w:type="dxa" w:w="2880"/>
            <w:shd w:val="clear" w:color="auto" w:fill="FFFFFF"/>
          </w:tcPr>
          <w:p>
            <w:r/>
            <w:r>
              <w:rPr>
                <w:color w:val="0F172A"/>
                <w:sz w:val="20"/>
              </w:rPr>
              <w:t>behavioral/fingerprint.py</w:t>
            </w:r>
          </w:p>
        </w:tc>
        <w:tc>
          <w:tcPr>
            <w:tcW w:type="dxa" w:w="2448"/>
            <w:shd w:val="clear" w:color="auto" w:fill="FFFFFF"/>
          </w:tcPr>
          <w:p>
            <w:r/>
            <w:r>
              <w:rPr>
                <w:color w:val="0F172A"/>
                <w:sz w:val="20"/>
              </w:rPr>
              <w:t>Identity drift score threshold for HIGH severity.</w:t>
            </w:r>
          </w:p>
        </w:tc>
      </w:tr>
      <w:tr>
        <w:tc>
          <w:tcPr>
            <w:tcW w:type="dxa" w:w="2160"/>
            <w:shd w:val="clear" w:color="auto" w:fill="F1F5F9"/>
          </w:tcPr>
          <w:p>
            <w:r/>
            <w:r>
              <w:rPr>
                <w:color w:val="0F172A"/>
                <w:sz w:val="20"/>
              </w:rPr>
              <w:t>Risk CRITICAL</w:t>
            </w:r>
          </w:p>
        </w:tc>
        <w:tc>
          <w:tcPr>
            <w:tcW w:type="dxa" w:w="1728"/>
            <w:shd w:val="clear" w:color="auto" w:fill="F1F5F9"/>
          </w:tcPr>
          <w:p>
            <w:r/>
            <w:r>
              <w:rPr>
                <w:color w:val="0F172A"/>
                <w:sz w:val="20"/>
              </w:rPr>
              <w:t>≥ 80</w:t>
            </w:r>
          </w:p>
        </w:tc>
        <w:tc>
          <w:tcPr>
            <w:tcW w:type="dxa" w:w="2880"/>
            <w:shd w:val="clear" w:color="auto" w:fill="F1F5F9"/>
          </w:tcPr>
          <w:p>
            <w:r/>
            <w:r>
              <w:rPr>
                <w:color w:val="0F172A"/>
                <w:sz w:val="20"/>
              </w:rPr>
              <w:t>detection/risk_engine.py</w:t>
            </w:r>
          </w:p>
        </w:tc>
        <w:tc>
          <w:tcPr>
            <w:tcW w:type="dxa" w:w="2448"/>
            <w:shd w:val="clear" w:color="auto" w:fill="F1F5F9"/>
          </w:tcPr>
          <w:p>
            <w:r/>
            <w:r>
              <w:rPr>
                <w:color w:val="0F172A"/>
                <w:sz w:val="20"/>
              </w:rPr>
              <w:t>Total BEC risk score threshold for CRITICAL risk level.</w:t>
            </w:r>
          </w:p>
        </w:tc>
      </w:tr>
      <w:tr>
        <w:tc>
          <w:tcPr>
            <w:tcW w:type="dxa" w:w="2160"/>
            <w:shd w:val="clear" w:color="auto" w:fill="FFFFFF"/>
          </w:tcPr>
          <w:p>
            <w:r/>
            <w:r>
              <w:rPr>
                <w:color w:val="0F172A"/>
                <w:sz w:val="20"/>
              </w:rPr>
              <w:t>Risk HIGH</w:t>
            </w:r>
          </w:p>
        </w:tc>
        <w:tc>
          <w:tcPr>
            <w:tcW w:type="dxa" w:w="1728"/>
            <w:shd w:val="clear" w:color="auto" w:fill="FFFFFF"/>
          </w:tcPr>
          <w:p>
            <w:r/>
            <w:r>
              <w:rPr>
                <w:color w:val="0F172A"/>
                <w:sz w:val="20"/>
              </w:rPr>
              <w:t>≥ 60</w:t>
            </w:r>
          </w:p>
        </w:tc>
        <w:tc>
          <w:tcPr>
            <w:tcW w:type="dxa" w:w="2880"/>
            <w:shd w:val="clear" w:color="auto" w:fill="FFFFFF"/>
          </w:tcPr>
          <w:p>
            <w:r/>
            <w:r>
              <w:rPr>
                <w:color w:val="0F172A"/>
                <w:sz w:val="20"/>
              </w:rPr>
              <w:t>detection/risk_engine.py</w:t>
            </w:r>
          </w:p>
        </w:tc>
        <w:tc>
          <w:tcPr>
            <w:tcW w:type="dxa" w:w="2448"/>
            <w:shd w:val="clear" w:color="auto" w:fill="FFFFFF"/>
          </w:tcPr>
          <w:p>
            <w:r/>
            <w:r>
              <w:rPr>
                <w:color w:val="0F172A"/>
                <w:sz w:val="20"/>
              </w:rPr>
              <w:t>Total BEC risk score threshold for HIGH risk level.</w:t>
            </w:r>
          </w:p>
        </w:tc>
      </w:tr>
      <w:tr>
        <w:tc>
          <w:tcPr>
            <w:tcW w:type="dxa" w:w="2160"/>
            <w:shd w:val="clear" w:color="auto" w:fill="F1F5F9"/>
          </w:tcPr>
          <w:p>
            <w:r/>
            <w:r>
              <w:rPr>
                <w:color w:val="0F172A"/>
                <w:sz w:val="20"/>
              </w:rPr>
              <w:t>Risk SUSPICIOUS</w:t>
            </w:r>
          </w:p>
        </w:tc>
        <w:tc>
          <w:tcPr>
            <w:tcW w:type="dxa" w:w="1728"/>
            <w:shd w:val="clear" w:color="auto" w:fill="F1F5F9"/>
          </w:tcPr>
          <w:p>
            <w:r/>
            <w:r>
              <w:rPr>
                <w:color w:val="0F172A"/>
                <w:sz w:val="20"/>
              </w:rPr>
              <w:t>≥ 45</w:t>
            </w:r>
          </w:p>
        </w:tc>
        <w:tc>
          <w:tcPr>
            <w:tcW w:type="dxa" w:w="2880"/>
            <w:shd w:val="clear" w:color="auto" w:fill="F1F5F9"/>
          </w:tcPr>
          <w:p>
            <w:r/>
            <w:r>
              <w:rPr>
                <w:color w:val="0F172A"/>
                <w:sz w:val="20"/>
              </w:rPr>
              <w:t>detection/risk_engine.py</w:t>
            </w:r>
          </w:p>
        </w:tc>
        <w:tc>
          <w:tcPr>
            <w:tcW w:type="dxa" w:w="2448"/>
            <w:shd w:val="clear" w:color="auto" w:fill="F1F5F9"/>
          </w:tcPr>
          <w:p>
            <w:r/>
            <w:r>
              <w:rPr>
                <w:color w:val="0F172A"/>
                <w:sz w:val="20"/>
              </w:rPr>
              <w:t>Total BEC risk score threshold for SUSPICIOUS risk level.</w:t>
            </w:r>
          </w:p>
        </w:tc>
      </w:tr>
      <w:tr>
        <w:tc>
          <w:tcPr>
            <w:tcW w:type="dxa" w:w="2160"/>
            <w:shd w:val="clear" w:color="auto" w:fill="FFFFFF"/>
          </w:tcPr>
          <w:p>
            <w:r/>
            <w:r>
              <w:rPr>
                <w:color w:val="0F172A"/>
                <w:sz w:val="20"/>
              </w:rPr>
              <w:t>Risk MEDIUM</w:t>
            </w:r>
          </w:p>
        </w:tc>
        <w:tc>
          <w:tcPr>
            <w:tcW w:type="dxa" w:w="1728"/>
            <w:shd w:val="clear" w:color="auto" w:fill="FFFFFF"/>
          </w:tcPr>
          <w:p>
            <w:r/>
            <w:r>
              <w:rPr>
                <w:color w:val="0F172A"/>
                <w:sz w:val="20"/>
              </w:rPr>
              <w:t>≥ 25</w:t>
            </w:r>
          </w:p>
        </w:tc>
        <w:tc>
          <w:tcPr>
            <w:tcW w:type="dxa" w:w="2880"/>
            <w:shd w:val="clear" w:color="auto" w:fill="FFFFFF"/>
          </w:tcPr>
          <w:p>
            <w:r/>
            <w:r>
              <w:rPr>
                <w:color w:val="0F172A"/>
                <w:sz w:val="20"/>
              </w:rPr>
              <w:t>detection/risk_engine.py</w:t>
            </w:r>
          </w:p>
        </w:tc>
        <w:tc>
          <w:tcPr>
            <w:tcW w:type="dxa" w:w="2448"/>
            <w:shd w:val="clear" w:color="auto" w:fill="FFFFFF"/>
          </w:tcPr>
          <w:p>
            <w:r/>
            <w:r>
              <w:rPr>
                <w:color w:val="0F172A"/>
                <w:sz w:val="20"/>
              </w:rPr>
              <w:t>Total BEC risk score threshold for MEDIUM risk level.</w:t>
            </w:r>
          </w:p>
        </w:tc>
      </w:tr>
    </w:tbl>
    <w:p>
      <w:r>
        <w:br w:type="page"/>
      </w:r>
    </w:p>
    <w:p>
      <w:pPr>
        <w:spacing w:before="400" w:after="120"/>
      </w:pPr>
      <w:r>
        <w:rPr>
          <w:b/>
          <w:color w:val="1E3A5F"/>
          <w:sz w:val="32"/>
        </w:rPr>
        <w:t>Appendix B — REST API Endpoint Reference</w:t>
      </w:r>
    </w:p>
    <w:p>
      <w:pPr>
        <w:spacing w:before="40" w:after="80" w:line="360" w:lineRule="auto"/>
      </w:pPr>
      <w:r>
        <w:rPr>
          <w:color w:val="0F172A"/>
          <w:sz w:val="22"/>
        </w:rPr>
        <w:t>All endpoints are served by Uvicorn at http://127.0.0.1:8000 by default.</w:t>
      </w:r>
    </w:p>
    <w:tbl>
      <w:tblPr>
        <w:tblStyle w:val="TableGrid"/>
        <w:tblW w:type="auto" w:w="0"/>
        <w:tblLayout w:type="fixed"/>
        <w:tblLook w:firstColumn="1" w:firstRow="1" w:lastColumn="0" w:lastRow="0" w:noHBand="0" w:noVBand="1" w:val="04A0"/>
      </w:tblPr>
      <w:tblGrid>
        <w:gridCol w:w="3022"/>
        <w:gridCol w:w="3022"/>
        <w:gridCol w:w="3022"/>
      </w:tblGrid>
      <w:tr>
        <w:tc>
          <w:tcPr>
            <w:tcW w:type="dxa" w:w="1008"/>
            <w:shd w:val="clear" w:color="auto" w:fill="1E3A5F"/>
          </w:tcPr>
          <w:p>
            <w:r/>
            <w:r>
              <w:rPr>
                <w:b/>
                <w:color w:val="FFFFFF"/>
                <w:sz w:val="20"/>
              </w:rPr>
              <w:t>Method</w:t>
            </w:r>
          </w:p>
        </w:tc>
        <w:tc>
          <w:tcPr>
            <w:tcW w:type="dxa" w:w="3168"/>
            <w:shd w:val="clear" w:color="auto" w:fill="1E3A5F"/>
          </w:tcPr>
          <w:p>
            <w:r/>
            <w:r>
              <w:rPr>
                <w:b/>
                <w:color w:val="FFFFFF"/>
                <w:sz w:val="20"/>
              </w:rPr>
              <w:t>Endpoint</w:t>
            </w:r>
          </w:p>
        </w:tc>
        <w:tc>
          <w:tcPr>
            <w:tcW w:type="dxa" w:w="5040"/>
            <w:shd w:val="clear" w:color="auto" w:fill="1E3A5F"/>
          </w:tcPr>
          <w:p>
            <w:r/>
            <w:r>
              <w:rPr>
                <w:b/>
                <w:color w:val="FFFFFF"/>
                <w:sz w:val="20"/>
              </w:rPr>
              <w:t>Description</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w:t>
            </w:r>
          </w:p>
        </w:tc>
        <w:tc>
          <w:tcPr>
            <w:tcW w:type="dxa" w:w="5040"/>
            <w:shd w:val="clear" w:color="auto" w:fill="F1F5F9"/>
          </w:tcPr>
          <w:p>
            <w:r/>
            <w:r>
              <w:rPr>
                <w:color w:val="0F172A"/>
                <w:sz w:val="20"/>
              </w:rPr>
              <w:t>Operations Dashboard — evidence metrics and recent ingestions.</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/acquisition</w:t>
            </w:r>
          </w:p>
        </w:tc>
        <w:tc>
          <w:tcPr>
            <w:tcW w:type="dxa" w:w="5040"/>
            <w:shd w:val="clear" w:color="auto" w:fill="FFFFFF"/>
          </w:tcPr>
          <w:p>
            <w:r/>
            <w:r>
              <w:rPr>
                <w:color w:val="0F172A"/>
                <w:sz w:val="20"/>
              </w:rPr>
              <w:t>Evidence Ingestion Console — upload .eml, .zip, or .mbox files.</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/analysis?id=EVD-...</w:t>
            </w:r>
          </w:p>
        </w:tc>
        <w:tc>
          <w:tcPr>
            <w:tcW w:type="dxa" w:w="5040"/>
            <w:shd w:val="clear" w:color="auto" w:fill="F1F5F9"/>
          </w:tcPr>
          <w:p>
            <w:r/>
            <w:r>
              <w:rPr>
                <w:color w:val="0F172A"/>
                <w:sz w:val="20"/>
              </w:rPr>
              <w:t>Forensic Dossier — full analysis for a selected evidence item.</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/senders</w:t>
            </w:r>
          </w:p>
        </w:tc>
        <w:tc>
          <w:tcPr>
            <w:tcW w:type="dxa" w:w="5040"/>
            <w:shd w:val="clear" w:color="auto" w:fill="FFFFFF"/>
          </w:tcPr>
          <w:p>
            <w:r/>
            <w:r>
              <w:rPr>
                <w:color w:val="0F172A"/>
                <w:sz w:val="20"/>
              </w:rPr>
              <w:t>Sender Intelligence — fingerprint profiles and drift analytics.</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/graph</w:t>
            </w:r>
          </w:p>
        </w:tc>
        <w:tc>
          <w:tcPr>
            <w:tcW w:type="dxa" w:w="5040"/>
            <w:shd w:val="clear" w:color="auto" w:fill="F1F5F9"/>
          </w:tcPr>
          <w:p>
            <w:r/>
            <w:r>
              <w:rPr>
                <w:color w:val="0F172A"/>
                <w:sz w:val="20"/>
              </w:rPr>
              <w:t>Interactive Communication Graph — Cytoscape.js network canvas.</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/findings</w:t>
            </w:r>
          </w:p>
        </w:tc>
        <w:tc>
          <w:tcPr>
            <w:tcW w:type="dxa" w:w="5040"/>
            <w:shd w:val="clear" w:color="auto" w:fill="FFFFFF"/>
          </w:tcPr>
          <w:p>
            <w:r/>
            <w:r>
              <w:rPr>
                <w:color w:val="0F172A"/>
                <w:sz w:val="20"/>
              </w:rPr>
              <w:t>Findings Log — all forensic findings with severity filter.</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/api/evidence</w:t>
            </w:r>
          </w:p>
        </w:tc>
        <w:tc>
          <w:tcPr>
            <w:tcW w:type="dxa" w:w="5040"/>
            <w:shd w:val="clear" w:color="auto" w:fill="F1F5F9"/>
          </w:tcPr>
          <w:p>
            <w:r/>
            <w:r>
              <w:rPr>
                <w:color w:val="0F172A"/>
                <w:sz w:val="20"/>
              </w:rPr>
              <w:t>Evidence Catalogue — SHA-256 hashes and metadata (JSON).</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/api/analyses</w:t>
            </w:r>
          </w:p>
        </w:tc>
        <w:tc>
          <w:tcPr>
            <w:tcW w:type="dxa" w:w="5040"/>
            <w:shd w:val="clear" w:color="auto" w:fill="FFFFFF"/>
          </w:tcPr>
          <w:p>
            <w:r/>
            <w:r>
              <w:rPr>
                <w:color w:val="0F172A"/>
                <w:sz w:val="20"/>
              </w:rPr>
              <w:t>Risk Assessments — all threat classifications (JSON).</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/api/analyses/{id}</w:t>
            </w:r>
          </w:p>
        </w:tc>
        <w:tc>
          <w:tcPr>
            <w:tcW w:type="dxa" w:w="5040"/>
            <w:shd w:val="clear" w:color="auto" w:fill="F1F5F9"/>
          </w:tcPr>
          <w:p>
            <w:r/>
            <w:r>
              <w:rPr>
                <w:color w:val="0F172A"/>
                <w:sz w:val="20"/>
              </w:rPr>
              <w:t>Detailed Forensic Evaluation — per-evidence analysis (JSON).</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/api/fingerprints</w:t>
            </w:r>
          </w:p>
        </w:tc>
        <w:tc>
          <w:tcPr>
            <w:tcW w:type="dxa" w:w="5040"/>
            <w:shd w:val="clear" w:color="auto" w:fill="FFFFFF"/>
          </w:tcPr>
          <w:p>
            <w:r/>
            <w:r>
              <w:rPr>
                <w:color w:val="0F172A"/>
                <w:sz w:val="20"/>
              </w:rPr>
              <w:t>Sender Behavioural Profiles — all compiled fingerprints (JSON).</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/api/fingerprints/{sender}</w:t>
            </w:r>
          </w:p>
        </w:tc>
        <w:tc>
          <w:tcPr>
            <w:tcW w:type="dxa" w:w="5040"/>
            <w:shd w:val="clear" w:color="auto" w:fill="F1F5F9"/>
          </w:tcPr>
          <w:p>
            <w:r/>
            <w:r>
              <w:rPr>
                <w:color w:val="0F172A"/>
                <w:sz w:val="20"/>
              </w:rPr>
              <w:t>Profile for specific sender address (JSON).</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/api/graph</w:t>
            </w:r>
          </w:p>
        </w:tc>
        <w:tc>
          <w:tcPr>
            <w:tcW w:type="dxa" w:w="5040"/>
            <w:shd w:val="clear" w:color="auto" w:fill="FFFFFF"/>
          </w:tcPr>
          <w:p>
            <w:r/>
            <w:r>
              <w:rPr>
                <w:color w:val="0F172A"/>
                <w:sz w:val="20"/>
              </w:rPr>
              <w:t>Directed graph nodes, edges, and relationship metrics (JSON).</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/api/attack-chain/{id}</w:t>
            </w:r>
          </w:p>
        </w:tc>
        <w:tc>
          <w:tcPr>
            <w:tcW w:type="dxa" w:w="5040"/>
            <w:shd w:val="clear" w:color="auto" w:fill="F1F5F9"/>
          </w:tcPr>
          <w:p>
            <w:r/>
            <w:r>
              <w:rPr>
                <w:color w:val="0F172A"/>
                <w:sz w:val="20"/>
              </w:rPr>
              <w:t>7-stage BEC Attack Chain for a specific evidence item (JSON).</w:t>
            </w:r>
          </w:p>
        </w:tc>
      </w:tr>
      <w:tr>
        <w:tc>
          <w:tcPr>
            <w:tcW w:type="dxa" w:w="1008"/>
            <w:shd w:val="clear" w:color="auto" w:fill="FFFFFF"/>
          </w:tcPr>
          <w:p>
            <w:r/>
            <w:r>
              <w:rPr>
                <w:color w:val="0F172A"/>
                <w:sz w:val="20"/>
              </w:rPr>
              <w:t>GET</w:t>
            </w:r>
          </w:p>
        </w:tc>
        <w:tc>
          <w:tcPr>
            <w:tcW w:type="dxa" w:w="3168"/>
            <w:shd w:val="clear" w:color="auto" w:fill="FFFFFF"/>
          </w:tcPr>
          <w:p>
            <w:r/>
            <w:r>
              <w:rPr>
                <w:color w:val="0F172A"/>
                <w:sz w:val="20"/>
              </w:rPr>
              <w:t>/api/reports/{id}/pdf</w:t>
            </w:r>
          </w:p>
        </w:tc>
        <w:tc>
          <w:tcPr>
            <w:tcW w:type="dxa" w:w="5040"/>
            <w:shd w:val="clear" w:color="auto" w:fill="FFFFFF"/>
          </w:tcPr>
          <w:p>
            <w:r/>
            <w:r>
              <w:rPr>
                <w:color w:val="0F172A"/>
                <w:sz w:val="20"/>
              </w:rPr>
              <w:t>Download court-admissible forensic PDF dossier.</w:t>
            </w:r>
          </w:p>
        </w:tc>
      </w:tr>
      <w:tr>
        <w:tc>
          <w:tcPr>
            <w:tcW w:type="dxa" w:w="1008"/>
            <w:shd w:val="clear" w:color="auto" w:fill="F1F5F9"/>
          </w:tcPr>
          <w:p>
            <w:r/>
            <w:r>
              <w:rPr>
                <w:color w:val="0F172A"/>
                <w:sz w:val="20"/>
              </w:rPr>
              <w:t>GET</w:t>
            </w:r>
          </w:p>
        </w:tc>
        <w:tc>
          <w:tcPr>
            <w:tcW w:type="dxa" w:w="3168"/>
            <w:shd w:val="clear" w:color="auto" w:fill="F1F5F9"/>
          </w:tcPr>
          <w:p>
            <w:r/>
            <w:r>
              <w:rPr>
                <w:color w:val="0F172A"/>
                <w:sz w:val="20"/>
              </w:rPr>
              <w:t>/api/audit</w:t>
            </w:r>
          </w:p>
        </w:tc>
        <w:tc>
          <w:tcPr>
            <w:tcW w:type="dxa" w:w="5040"/>
            <w:shd w:val="clear" w:color="auto" w:fill="F1F5F9"/>
          </w:tcPr>
          <w:p>
            <w:r/>
            <w:r>
              <w:rPr>
                <w:color w:val="0F172A"/>
                <w:sz w:val="20"/>
              </w:rPr>
              <w:t>JSON integrity audit report for all evidence on disk.</w:t>
            </w:r>
          </w:p>
        </w:tc>
      </w:tr>
      <w:tr>
        <w:tc>
          <w:tcPr>
            <w:tcW w:type="dxa" w:w="1008"/>
            <w:shd w:val="clear" w:color="auto" w:fill="FFFFFF"/>
          </w:tcPr>
          <w:p>
            <w:r/>
            <w:r>
              <w:rPr>
                <w:color w:val="0F172A"/>
                <w:sz w:val="20"/>
              </w:rPr>
              <w:t>POST</w:t>
            </w:r>
          </w:p>
        </w:tc>
        <w:tc>
          <w:tcPr>
            <w:tcW w:type="dxa" w:w="3168"/>
            <w:shd w:val="clear" w:color="auto" w:fill="FFFFFF"/>
          </w:tcPr>
          <w:p>
            <w:r/>
            <w:r>
              <w:rPr>
                <w:color w:val="0F172A"/>
                <w:sz w:val="20"/>
              </w:rPr>
              <w:t>/api/analyze</w:t>
            </w:r>
          </w:p>
        </w:tc>
        <w:tc>
          <w:tcPr>
            <w:tcW w:type="dxa" w:w="5040"/>
            <w:shd w:val="clear" w:color="auto" w:fill="FFFFFF"/>
          </w:tcPr>
          <w:p>
            <w:r/>
            <w:r>
              <w:rPr>
                <w:color w:val="0F172A"/>
                <w:sz w:val="20"/>
              </w:rPr>
              <w:t>Programmatic .eml evidence submission and full analysis (JSON).</w:t>
            </w:r>
          </w:p>
        </w:tc>
      </w:tr>
      <w:tr>
        <w:tc>
          <w:tcPr>
            <w:tcW w:type="dxa" w:w="1008"/>
            <w:shd w:val="clear" w:color="auto" w:fill="F1F5F9"/>
          </w:tcPr>
          <w:p>
            <w:r/>
            <w:r>
              <w:rPr>
                <w:color w:val="0F172A"/>
                <w:sz w:val="20"/>
              </w:rPr>
              <w:t>POST</w:t>
            </w:r>
          </w:p>
        </w:tc>
        <w:tc>
          <w:tcPr>
            <w:tcW w:type="dxa" w:w="3168"/>
            <w:shd w:val="clear" w:color="auto" w:fill="F1F5F9"/>
          </w:tcPr>
          <w:p>
            <w:r/>
            <w:r>
              <w:rPr>
                <w:color w:val="0F172A"/>
                <w:sz w:val="20"/>
              </w:rPr>
              <w:t>/acquisition/upload</w:t>
            </w:r>
          </w:p>
        </w:tc>
        <w:tc>
          <w:tcPr>
            <w:tcW w:type="dxa" w:w="5040"/>
            <w:shd w:val="clear" w:color="auto" w:fill="F1F5F9"/>
          </w:tcPr>
          <w:p>
            <w:r/>
            <w:r>
              <w:rPr>
                <w:color w:val="0F172A"/>
                <w:sz w:val="20"/>
              </w:rPr>
              <w:t>Form-based multi-file upload (HTML redirect response).</w:t>
            </w:r>
          </w:p>
        </w:tc>
      </w:tr>
      <w:tr>
        <w:tc>
          <w:tcPr>
            <w:tcW w:type="dxa" w:w="1008"/>
            <w:shd w:val="clear" w:color="auto" w:fill="FFFFFF"/>
          </w:tcPr>
          <w:p>
            <w:r/>
            <w:r>
              <w:rPr>
                <w:color w:val="0F172A"/>
                <w:sz w:val="20"/>
              </w:rPr>
              <w:t>POST</w:t>
            </w:r>
          </w:p>
        </w:tc>
        <w:tc>
          <w:tcPr>
            <w:tcW w:type="dxa" w:w="3168"/>
            <w:shd w:val="clear" w:color="auto" w:fill="FFFFFF"/>
          </w:tcPr>
          <w:p>
            <w:r/>
            <w:r>
              <w:rPr>
                <w:color w:val="0F172A"/>
                <w:sz w:val="20"/>
              </w:rPr>
              <w:t>/evidence/audit</w:t>
            </w:r>
          </w:p>
        </w:tc>
        <w:tc>
          <w:tcPr>
            <w:tcW w:type="dxa" w:w="5040"/>
            <w:shd w:val="clear" w:color="auto" w:fill="FFFFFF"/>
          </w:tcPr>
          <w:p>
            <w:r/>
            <w:r>
              <w:rPr>
                <w:color w:val="0F172A"/>
                <w:sz w:val="20"/>
              </w:rPr>
              <w:t>Trigger SHA-256 integrity verification of all vault files.</w:t>
            </w:r>
          </w:p>
        </w:tc>
      </w:tr>
      <w:tr>
        <w:tc>
          <w:tcPr>
            <w:tcW w:type="dxa" w:w="1008"/>
            <w:shd w:val="clear" w:color="auto" w:fill="F1F5F9"/>
          </w:tcPr>
          <w:p>
            <w:r/>
            <w:r>
              <w:rPr>
                <w:color w:val="0F172A"/>
                <w:sz w:val="20"/>
              </w:rPr>
              <w:t>POST</w:t>
            </w:r>
          </w:p>
        </w:tc>
        <w:tc>
          <w:tcPr>
            <w:tcW w:type="dxa" w:w="3168"/>
            <w:shd w:val="clear" w:color="auto" w:fill="F1F5F9"/>
          </w:tcPr>
          <w:p>
            <w:r/>
            <w:r>
              <w:rPr>
                <w:color w:val="0F172A"/>
                <w:sz w:val="20"/>
              </w:rPr>
              <w:t>/evidence/reset</w:t>
            </w:r>
          </w:p>
        </w:tc>
        <w:tc>
          <w:tcPr>
            <w:tcW w:type="dxa" w:w="5040"/>
            <w:shd w:val="clear" w:color="auto" w:fill="F1F5F9"/>
          </w:tcPr>
          <w:p>
            <w:r/>
            <w:r>
              <w:rPr>
                <w:color w:val="0F172A"/>
                <w:sz w:val="20"/>
              </w:rPr>
              <w:t>Wipe all active case evidence and reset database to clean slate.</w:t>
            </w:r>
          </w:p>
        </w:tc>
      </w:tr>
    </w:tbl>
    <w:p>
      <w:r>
        <w:br w:type="page"/>
      </w:r>
    </w:p>
    <w:p>
      <w:pPr>
        <w:spacing w:before="400" w:after="120"/>
      </w:pPr>
      <w:r>
        <w:rPr>
          <w:b/>
          <w:color w:val="1E3A5F"/>
          <w:sz w:val="32"/>
        </w:rPr>
        <w:t>Appendix C — Database Schema Summary</w:t>
      </w:r>
    </w:p>
    <w:p>
      <w:pPr>
        <w:spacing w:before="40" w:after="80" w:line="360" w:lineRule="auto"/>
      </w:pPr>
      <w:r>
        <w:rPr>
          <w:color w:val="0F172A"/>
          <w:sz w:val="22"/>
        </w:rPr>
        <w:t>BEC-FORGE uses a single SQLite database (bec_forge.db) with 12 relational tables.</w:t>
      </w:r>
    </w:p>
    <w:tbl>
      <w:tblPr>
        <w:tblStyle w:val="TableGrid"/>
        <w:tblW w:type="auto" w:w="0"/>
        <w:tblLayout w:type="fixed"/>
        <w:tblLook w:firstColumn="1" w:firstRow="1" w:lastColumn="0" w:lastRow="0" w:noHBand="0" w:noVBand="1" w:val="04A0"/>
      </w:tblPr>
      <w:tblGrid>
        <w:gridCol w:w="3022"/>
        <w:gridCol w:w="3022"/>
        <w:gridCol w:w="3022"/>
      </w:tblGrid>
      <w:tr>
        <w:tc>
          <w:tcPr>
            <w:tcW w:type="dxa" w:w="2160"/>
            <w:shd w:val="clear" w:color="auto" w:fill="1E3A5F"/>
          </w:tcPr>
          <w:p>
            <w:r/>
            <w:r>
              <w:rPr>
                <w:b/>
                <w:color w:val="FFFFFF"/>
                <w:sz w:val="20"/>
              </w:rPr>
              <w:t>Table</w:t>
            </w:r>
          </w:p>
        </w:tc>
        <w:tc>
          <w:tcPr>
            <w:tcW w:type="dxa" w:w="3168"/>
            <w:shd w:val="clear" w:color="auto" w:fill="1E3A5F"/>
          </w:tcPr>
          <w:p>
            <w:r/>
            <w:r>
              <w:rPr>
                <w:b/>
                <w:color w:val="FFFFFF"/>
                <w:sz w:val="20"/>
              </w:rPr>
              <w:t>Primary Purpose</w:t>
            </w:r>
          </w:p>
        </w:tc>
        <w:tc>
          <w:tcPr>
            <w:tcW w:type="dxa" w:w="3888"/>
            <w:shd w:val="clear" w:color="auto" w:fill="1E3A5F"/>
          </w:tcPr>
          <w:p>
            <w:r/>
            <w:r>
              <w:rPr>
                <w:b/>
                <w:color w:val="FFFFFF"/>
                <w:sz w:val="20"/>
              </w:rPr>
              <w:t>Key Fields</w:t>
            </w:r>
          </w:p>
        </w:tc>
      </w:tr>
      <w:tr>
        <w:tc>
          <w:tcPr>
            <w:tcW w:type="dxa" w:w="2160"/>
            <w:shd w:val="clear" w:color="auto" w:fill="F1F5F9"/>
          </w:tcPr>
          <w:p>
            <w:r/>
            <w:r>
              <w:rPr>
                <w:color w:val="0F172A"/>
                <w:sz w:val="20"/>
              </w:rPr>
              <w:t>evidence</w:t>
            </w:r>
          </w:p>
        </w:tc>
        <w:tc>
          <w:tcPr>
            <w:tcW w:type="dxa" w:w="3168"/>
            <w:shd w:val="clear" w:color="auto" w:fill="F1F5F9"/>
          </w:tcPr>
          <w:p>
            <w:r/>
            <w:r>
              <w:rPr>
                <w:color w:val="0F172A"/>
                <w:sz w:val="20"/>
              </w:rPr>
              <w:t>Chain-of-custody ledger for all ingested email files.</w:t>
            </w:r>
          </w:p>
        </w:tc>
        <w:tc>
          <w:tcPr>
            <w:tcW w:type="dxa" w:w="3888"/>
            <w:shd w:val="clear" w:color="auto" w:fill="F1F5F9"/>
          </w:tcPr>
          <w:p>
            <w:r/>
            <w:r>
              <w:rPr>
                <w:color w:val="0F172A"/>
                <w:sz w:val="20"/>
              </w:rPr>
              <w:t>evidence_id, sha256, acquired_at, integrity, stored_path</w:t>
            </w:r>
          </w:p>
        </w:tc>
      </w:tr>
      <w:tr>
        <w:tc>
          <w:tcPr>
            <w:tcW w:type="dxa" w:w="2160"/>
            <w:shd w:val="clear" w:color="auto" w:fill="FFFFFF"/>
          </w:tcPr>
          <w:p>
            <w:r/>
            <w:r>
              <w:rPr>
                <w:color w:val="0F172A"/>
                <w:sz w:val="20"/>
              </w:rPr>
              <w:t>emails</w:t>
            </w:r>
          </w:p>
        </w:tc>
        <w:tc>
          <w:tcPr>
            <w:tcW w:type="dxa" w:w="3168"/>
            <w:shd w:val="clear" w:color="auto" w:fill="FFFFFF"/>
          </w:tcPr>
          <w:p>
            <w:r/>
            <w:r>
              <w:rPr>
                <w:color w:val="0F172A"/>
                <w:sz w:val="20"/>
              </w:rPr>
              <w:t>Parsed RFC-822 header and body fields.</w:t>
            </w:r>
          </w:p>
        </w:tc>
        <w:tc>
          <w:tcPr>
            <w:tcW w:type="dxa" w:w="3888"/>
            <w:shd w:val="clear" w:color="auto" w:fill="FFFFFF"/>
          </w:tcPr>
          <w:p>
            <w:r/>
            <w:r>
              <w:rPr>
                <w:color w:val="0F172A"/>
                <w:sz w:val="20"/>
              </w:rPr>
              <w:t>evidence_id, from_address, to_raw, subject, date_parsed, reply_to, return_path, in_reply_to</w:t>
            </w:r>
          </w:p>
        </w:tc>
      </w:tr>
      <w:tr>
        <w:tc>
          <w:tcPr>
            <w:tcW w:type="dxa" w:w="2160"/>
            <w:shd w:val="clear" w:color="auto" w:fill="F1F5F9"/>
          </w:tcPr>
          <w:p>
            <w:r/>
            <w:r>
              <w:rPr>
                <w:color w:val="0F172A"/>
                <w:sz w:val="20"/>
              </w:rPr>
              <w:t>email_headers</w:t>
            </w:r>
          </w:p>
        </w:tc>
        <w:tc>
          <w:tcPr>
            <w:tcW w:type="dxa" w:w="3168"/>
            <w:shd w:val="clear" w:color="auto" w:fill="F1F5F9"/>
          </w:tcPr>
          <w:p>
            <w:r/>
            <w:r>
              <w:rPr>
                <w:color w:val="0F172A"/>
                <w:sz w:val="20"/>
              </w:rPr>
              <w:t>All raw header name–value pairs in original order.</w:t>
            </w:r>
          </w:p>
        </w:tc>
        <w:tc>
          <w:tcPr>
            <w:tcW w:type="dxa" w:w="3888"/>
            <w:shd w:val="clear" w:color="auto" w:fill="F1F5F9"/>
          </w:tcPr>
          <w:p>
            <w:r/>
            <w:r>
              <w:rPr>
                <w:color w:val="0F172A"/>
                <w:sz w:val="20"/>
              </w:rPr>
              <w:t>evidence_id, header_name, header_value, position</w:t>
            </w:r>
          </w:p>
        </w:tc>
      </w:tr>
      <w:tr>
        <w:tc>
          <w:tcPr>
            <w:tcW w:type="dxa" w:w="2160"/>
            <w:shd w:val="clear" w:color="auto" w:fill="FFFFFF"/>
          </w:tcPr>
          <w:p>
            <w:r/>
            <w:r>
              <w:rPr>
                <w:color w:val="0F172A"/>
                <w:sz w:val="20"/>
              </w:rPr>
              <w:t>risk_assessments</w:t>
            </w:r>
          </w:p>
        </w:tc>
        <w:tc>
          <w:tcPr>
            <w:tcW w:type="dxa" w:w="3168"/>
            <w:shd w:val="clear" w:color="auto" w:fill="FFFFFF"/>
          </w:tcPr>
          <w:p>
            <w:r/>
            <w:r>
              <w:rPr>
                <w:color w:val="0F172A"/>
                <w:sz w:val="20"/>
              </w:rPr>
              <w:t>Composite risk score and all sub-scores per evidence item.</w:t>
            </w:r>
          </w:p>
        </w:tc>
        <w:tc>
          <w:tcPr>
            <w:tcW w:type="dxa" w:w="3888"/>
            <w:shd w:val="clear" w:color="auto" w:fill="FFFFFF"/>
          </w:tcPr>
          <w:p>
            <w:r/>
            <w:r>
              <w:rPr>
                <w:color w:val="0F172A"/>
                <w:sz w:val="20"/>
              </w:rPr>
              <w:t>evidence_id, total_score, risk_level, identity_consistency_score, identity_drift_score, threat_hypothesis, component_scores, counterfactuals</w:t>
            </w:r>
          </w:p>
        </w:tc>
      </w:tr>
      <w:tr>
        <w:tc>
          <w:tcPr>
            <w:tcW w:type="dxa" w:w="2160"/>
            <w:shd w:val="clear" w:color="auto" w:fill="F1F5F9"/>
          </w:tcPr>
          <w:p>
            <w:r/>
            <w:r>
              <w:rPr>
                <w:color w:val="0F172A"/>
                <w:sz w:val="20"/>
              </w:rPr>
              <w:t>findings</w:t>
            </w:r>
          </w:p>
        </w:tc>
        <w:tc>
          <w:tcPr>
            <w:tcW w:type="dxa" w:w="3168"/>
            <w:shd w:val="clear" w:color="auto" w:fill="F1F5F9"/>
          </w:tcPr>
          <w:p>
            <w:r/>
            <w:r>
              <w:rPr>
                <w:color w:val="0F172A"/>
                <w:sz w:val="20"/>
              </w:rPr>
              <w:t>Individual forensic finding records with severity and category.</w:t>
            </w:r>
          </w:p>
        </w:tc>
        <w:tc>
          <w:tcPr>
            <w:tcW w:type="dxa" w:w="3888"/>
            <w:shd w:val="clear" w:color="auto" w:fill="F1F5F9"/>
          </w:tcPr>
          <w:p>
            <w:r/>
            <w:r>
              <w:rPr>
                <w:color w:val="0F172A"/>
                <w:sz w:val="20"/>
              </w:rPr>
              <w:t>evidence_id, severity, category, title, description, evidence_field, evidence_value</w:t>
            </w:r>
          </w:p>
        </w:tc>
      </w:tr>
      <w:tr>
        <w:tc>
          <w:tcPr>
            <w:tcW w:type="dxa" w:w="2160"/>
            <w:shd w:val="clear" w:color="auto" w:fill="FFFFFF"/>
          </w:tcPr>
          <w:p>
            <w:r/>
            <w:r>
              <w:rPr>
                <w:color w:val="0F172A"/>
                <w:sz w:val="20"/>
              </w:rPr>
              <w:t>sender_fingerprints</w:t>
            </w:r>
          </w:p>
        </w:tc>
        <w:tc>
          <w:tcPr>
            <w:tcW w:type="dxa" w:w="3168"/>
            <w:shd w:val="clear" w:color="auto" w:fill="FFFFFF"/>
          </w:tcPr>
          <w:p>
            <w:r/>
            <w:r>
              <w:rPr>
                <w:color w:val="0F172A"/>
                <w:sz w:val="20"/>
              </w:rPr>
              <w:t>Behavioural baseline profiles compiled per sender address.</w:t>
            </w:r>
          </w:p>
        </w:tc>
        <w:tc>
          <w:tcPr>
            <w:tcW w:type="dxa" w:w="3888"/>
            <w:shd w:val="clear" w:color="auto" w:fill="FFFFFF"/>
          </w:tcPr>
          <w:p>
            <w:r/>
            <w:r>
              <w:rPr>
                <w:color w:val="0F172A"/>
                <w:sz w:val="20"/>
              </w:rPr>
              <w:t>sender_address, display_names, typical_sending_hours, typical_recipients, reply_to_addresses, auth_pass_rate, sample_size</w:t>
            </w:r>
          </w:p>
        </w:tc>
      </w:tr>
      <w:tr>
        <w:tc>
          <w:tcPr>
            <w:tcW w:type="dxa" w:w="2160"/>
            <w:shd w:val="clear" w:color="auto" w:fill="F1F5F9"/>
          </w:tcPr>
          <w:p>
            <w:r/>
            <w:r>
              <w:rPr>
                <w:color w:val="0F172A"/>
                <w:sz w:val="20"/>
              </w:rPr>
              <w:t>senders</w:t>
            </w:r>
          </w:p>
        </w:tc>
        <w:tc>
          <w:tcPr>
            <w:tcW w:type="dxa" w:w="3168"/>
            <w:shd w:val="clear" w:color="auto" w:fill="F1F5F9"/>
          </w:tcPr>
          <w:p>
            <w:r/>
            <w:r>
              <w:rPr>
                <w:color w:val="0F172A"/>
                <w:sz w:val="20"/>
              </w:rPr>
              <w:t>Unique sender address registry with first/last seen timestamps.</w:t>
            </w:r>
          </w:p>
        </w:tc>
        <w:tc>
          <w:tcPr>
            <w:tcW w:type="dxa" w:w="3888"/>
            <w:shd w:val="clear" w:color="auto" w:fill="F1F5F9"/>
          </w:tcPr>
          <w:p>
            <w:r/>
            <w:r>
              <w:rPr>
                <w:color w:val="0F172A"/>
                <w:sz w:val="20"/>
              </w:rPr>
              <w:t>email_address, display_name, domain, first_seen, last_seen, email_count</w:t>
            </w:r>
          </w:p>
        </w:tc>
      </w:tr>
      <w:tr>
        <w:tc>
          <w:tcPr>
            <w:tcW w:type="dxa" w:w="2160"/>
            <w:shd w:val="clear" w:color="auto" w:fill="FFFFFF"/>
          </w:tcPr>
          <w:p>
            <w:r/>
            <w:r>
              <w:rPr>
                <w:color w:val="0F172A"/>
                <w:sz w:val="20"/>
              </w:rPr>
              <w:t>recipients</w:t>
            </w:r>
          </w:p>
        </w:tc>
        <w:tc>
          <w:tcPr>
            <w:tcW w:type="dxa" w:w="3168"/>
            <w:shd w:val="clear" w:color="auto" w:fill="FFFFFF"/>
          </w:tcPr>
          <w:p>
            <w:r/>
            <w:r>
              <w:rPr>
                <w:color w:val="0F172A"/>
                <w:sz w:val="20"/>
              </w:rPr>
              <w:t>All recipients (To, CC, BCC) per evidence item.</w:t>
            </w:r>
          </w:p>
        </w:tc>
        <w:tc>
          <w:tcPr>
            <w:tcW w:type="dxa" w:w="3888"/>
            <w:shd w:val="clear" w:color="auto" w:fill="FFFFFF"/>
          </w:tcPr>
          <w:p>
            <w:r/>
            <w:r>
              <w:rPr>
                <w:color w:val="0F172A"/>
                <w:sz w:val="20"/>
              </w:rPr>
              <w:t>evidence_id, email_address, recipient_type</w:t>
            </w:r>
          </w:p>
        </w:tc>
      </w:tr>
      <w:tr>
        <w:tc>
          <w:tcPr>
            <w:tcW w:type="dxa" w:w="2160"/>
            <w:shd w:val="clear" w:color="auto" w:fill="F1F5F9"/>
          </w:tcPr>
          <w:p>
            <w:r/>
            <w:r>
              <w:rPr>
                <w:color w:val="0F172A"/>
                <w:sz w:val="20"/>
              </w:rPr>
              <w:t>communication_edges</w:t>
            </w:r>
          </w:p>
        </w:tc>
        <w:tc>
          <w:tcPr>
            <w:tcW w:type="dxa" w:w="3168"/>
            <w:shd w:val="clear" w:color="auto" w:fill="F1F5F9"/>
          </w:tcPr>
          <w:p>
            <w:r/>
            <w:r>
              <w:rPr>
                <w:color w:val="0F172A"/>
                <w:sz w:val="20"/>
              </w:rPr>
              <w:t>Directed sender→recipient relationship graph edges.</w:t>
            </w:r>
          </w:p>
        </w:tc>
        <w:tc>
          <w:tcPr>
            <w:tcW w:type="dxa" w:w="3888"/>
            <w:shd w:val="clear" w:color="auto" w:fill="F1F5F9"/>
          </w:tcPr>
          <w:p>
            <w:r/>
            <w:r>
              <w:rPr>
                <w:color w:val="0F172A"/>
                <w:sz w:val="20"/>
              </w:rPr>
              <w:t>sender, recipient, evidence_id, is_new_relationship, timestamp</w:t>
            </w:r>
          </w:p>
        </w:tc>
      </w:tr>
      <w:tr>
        <w:tc>
          <w:tcPr>
            <w:tcW w:type="dxa" w:w="2160"/>
            <w:shd w:val="clear" w:color="auto" w:fill="FFFFFF"/>
          </w:tcPr>
          <w:p>
            <w:r/>
            <w:r>
              <w:rPr>
                <w:color w:val="0F172A"/>
                <w:sz w:val="20"/>
              </w:rPr>
              <w:t>attachments</w:t>
            </w:r>
          </w:p>
        </w:tc>
        <w:tc>
          <w:tcPr>
            <w:tcW w:type="dxa" w:w="3168"/>
            <w:shd w:val="clear" w:color="auto" w:fill="FFFFFF"/>
          </w:tcPr>
          <w:p>
            <w:r/>
            <w:r>
              <w:rPr>
                <w:color w:val="0F172A"/>
                <w:sz w:val="20"/>
              </w:rPr>
              <w:t>Email attachment metadata with SHA-256 hashes.</w:t>
            </w:r>
          </w:p>
        </w:tc>
        <w:tc>
          <w:tcPr>
            <w:tcW w:type="dxa" w:w="3888"/>
            <w:shd w:val="clear" w:color="auto" w:fill="FFFFFF"/>
          </w:tcPr>
          <w:p>
            <w:r/>
            <w:r>
              <w:rPr>
                <w:color w:val="0F172A"/>
                <w:sz w:val="20"/>
              </w:rPr>
              <w:t>evidence_id, filename, mime_type, file_size, sha256, is_suspicious</w:t>
            </w:r>
          </w:p>
        </w:tc>
      </w:tr>
      <w:tr>
        <w:tc>
          <w:tcPr>
            <w:tcW w:type="dxa" w:w="2160"/>
            <w:shd w:val="clear" w:color="auto" w:fill="F1F5F9"/>
          </w:tcPr>
          <w:p>
            <w:r/>
            <w:r>
              <w:rPr>
                <w:color w:val="0F172A"/>
                <w:sz w:val="20"/>
              </w:rPr>
              <w:t>urls</w:t>
            </w:r>
          </w:p>
        </w:tc>
        <w:tc>
          <w:tcPr>
            <w:tcW w:type="dxa" w:w="3168"/>
            <w:shd w:val="clear" w:color="auto" w:fill="F1F5F9"/>
          </w:tcPr>
          <w:p>
            <w:r/>
            <w:r>
              <w:rPr>
                <w:color w:val="0F172A"/>
                <w:sz w:val="20"/>
              </w:rPr>
              <w:t>Extracted URLs from email bodies with risk classification.</w:t>
            </w:r>
          </w:p>
        </w:tc>
        <w:tc>
          <w:tcPr>
            <w:tcW w:type="dxa" w:w="3888"/>
            <w:shd w:val="clear" w:color="auto" w:fill="F1F5F9"/>
          </w:tcPr>
          <w:p>
            <w:r/>
            <w:r>
              <w:rPr>
                <w:color w:val="0F172A"/>
                <w:sz w:val="20"/>
              </w:rPr>
              <w:t>evidence_id, url, domain, is_ip_based, is_shortener, is_suspicious</w:t>
            </w:r>
          </w:p>
        </w:tc>
      </w:tr>
      <w:tr>
        <w:tc>
          <w:tcPr>
            <w:tcW w:type="dxa" w:w="2160"/>
            <w:shd w:val="clear" w:color="auto" w:fill="FFFFFF"/>
          </w:tcPr>
          <w:p>
            <w:r/>
            <w:r>
              <w:rPr>
                <w:color w:val="0F172A"/>
                <w:sz w:val="20"/>
              </w:rPr>
              <w:t>cases</w:t>
            </w:r>
          </w:p>
        </w:tc>
        <w:tc>
          <w:tcPr>
            <w:tcW w:type="dxa" w:w="3168"/>
            <w:shd w:val="clear" w:color="auto" w:fill="FFFFFF"/>
          </w:tcPr>
          <w:p>
            <w:r/>
            <w:r>
              <w:rPr>
                <w:color w:val="0F172A"/>
                <w:sz w:val="20"/>
              </w:rPr>
              <w:t>Investigation case docket metadata.</w:t>
            </w:r>
          </w:p>
        </w:tc>
        <w:tc>
          <w:tcPr>
            <w:tcW w:type="dxa" w:w="3888"/>
            <w:shd w:val="clear" w:color="auto" w:fill="FFFFFF"/>
          </w:tcPr>
          <w:p>
            <w:r/>
            <w:r>
              <w:rPr>
                <w:color w:val="0F172A"/>
                <w:sz w:val="20"/>
              </w:rPr>
              <w:t>case_id, name, description, investigator, created_at</w:t>
            </w:r>
          </w:p>
        </w:tc>
      </w:tr>
    </w:tbl>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