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Railway Wagon Recognition System</w:t>
      </w:r>
    </w:p>
    <w:p>
      <w:pPr>
        <w:jc w:val="center"/>
      </w:pPr>
      <w:r>
        <w:rPr>
          <w:color w:val="464646"/>
          <w:sz w:val="36"/>
        </w:rPr>
        <w:t>Image Deblurring &amp; OCR Pipeline</w:t>
      </w:r>
    </w:p>
    <w:p/>
    <w:p>
      <w:pPr>
        <w:jc w:val="center"/>
      </w:pPr>
      <w:r>
        <w:rPr>
          <w:sz w:val="28"/>
        </w:rPr>
        <w:t>Technical Report</w:t>
      </w:r>
    </w:p>
    <w:p>
      <w:pPr>
        <w:jc w:val="center"/>
      </w:pPr>
      <w:r>
        <w:rPr>
          <w:i/>
        </w:rPr>
        <w:t>January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the development and evaluation of an AI-powered system designed to automatically identify and read wagon numbers from railway footage. The system employs a two-stage pipeline: (1) Motion Deblurring using a deep learning model (NAFNet), and (2) Optical Character Recognition (OCR) using EasyOCR with YOLOv8 detection.</w:t>
      </w:r>
    </w:p>
    <w:p>
      <w:pPr>
        <w:pStyle w:val="Heading1"/>
      </w:pPr>
      <w:r>
        <w:t>System Architecture</w:t>
      </w:r>
    </w:p>
    <w:p>
      <w:r>
        <w:t>The pipeline consists of the following components: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Deblurring Model</w:t>
            </w:r>
          </w:p>
        </w:tc>
        <w:tc>
          <w:tcPr>
            <w:tcW w:type="dxa" w:w="4320"/>
          </w:tcPr>
          <w:p>
            <w:r>
              <w:t>NAFNet (Small) - Custom Trained</w:t>
            </w:r>
          </w:p>
        </w:tc>
      </w:tr>
      <w:tr>
        <w:tc>
          <w:tcPr>
            <w:tcW w:type="dxa" w:w="4320"/>
          </w:tcPr>
          <w:p>
            <w:r>
              <w:t>Object Detection</w:t>
            </w:r>
          </w:p>
        </w:tc>
        <w:tc>
          <w:tcPr>
            <w:tcW w:type="dxa" w:w="4320"/>
          </w:tcPr>
          <w:p>
            <w:r>
              <w:t>YOLOv8 (Pre-trained)</w:t>
            </w:r>
          </w:p>
        </w:tc>
      </w:tr>
      <w:tr>
        <w:tc>
          <w:tcPr>
            <w:tcW w:type="dxa" w:w="4320"/>
          </w:tcPr>
          <w:p>
            <w:r>
              <w:t>Text Recognition</w:t>
            </w:r>
          </w:p>
        </w:tc>
        <w:tc>
          <w:tcPr>
            <w:tcW w:type="dxa" w:w="4320"/>
          </w:tcPr>
          <w:p>
            <w:r>
              <w:t>EasyOCR (English)</w:t>
            </w:r>
          </w:p>
        </w:tc>
      </w:tr>
    </w:tbl>
    <w:p/>
    <w:p>
      <w:pPr>
        <w:pStyle w:val="Heading1"/>
      </w:pPr>
      <w:r>
        <w:t>Model Performance Metrics</w:t>
      </w:r>
    </w:p>
    <w:p>
      <w:pPr>
        <w:pStyle w:val="Heading2"/>
      </w:pPr>
      <w:r>
        <w:t>Deblurring Model Accuracy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PSNR (Peak Signal-to-Noise Ratio)</w:t>
            </w:r>
          </w:p>
        </w:tc>
        <w:tc>
          <w:tcPr>
            <w:tcW w:type="dxa" w:w="4320"/>
          </w:tcPr>
          <w:p>
            <w:r>
              <w:t>29.33 dB</w:t>
            </w:r>
          </w:p>
        </w:tc>
      </w:tr>
      <w:tr>
        <w:tc>
          <w:tcPr>
            <w:tcW w:type="dxa" w:w="4320"/>
          </w:tcPr>
          <w:p>
            <w:r>
              <w:t>SSIM (Structural Similarity Index)</w:t>
            </w:r>
          </w:p>
        </w:tc>
        <w:tc>
          <w:tcPr>
            <w:tcW w:type="dxa" w:w="4320"/>
          </w:tcPr>
          <w:p>
            <w:r>
              <w:t>88.25%</w:t>
            </w:r>
          </w:p>
        </w:tc>
      </w:tr>
      <w:tr>
        <w:tc>
          <w:tcPr>
            <w:tcW w:type="dxa" w:w="4320"/>
          </w:tcPr>
          <w:p>
            <w:r>
              <w:t>Training Epochs Completed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Accuracy Interpretation</w:t>
      </w:r>
    </w:p>
    <w:p>
      <w:r>
        <w:rPr>
          <w:b/>
        </w:rPr>
        <w:t xml:space="preserve">PSNR of 29.33 dB: </w:t>
      </w:r>
      <w:r>
        <w:t>Indicates good restoration quality. Images are visually improved with reduced motion blur artifacts. Industry standard for acceptable deblurring is typically &gt;25 dB.</w:t>
      </w:r>
    </w:p>
    <w:p>
      <w:r>
        <w:rPr>
          <w:b/>
        </w:rPr>
        <w:t xml:space="preserve">SSIM of 88.25%: </w:t>
      </w:r>
      <w:r>
        <w:t>The structural similarity between restored and ground truth images is high, meaning the model preserves important visual features like edges and text.</w:t>
      </w:r>
    </w:p>
    <w:p>
      <w:pPr>
        <w:pStyle w:val="Heading1"/>
      </w:pPr>
      <w:r>
        <w:t>Dataset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Training Data</w:t>
            </w:r>
          </w:p>
        </w:tc>
        <w:tc>
          <w:tcPr>
            <w:tcW w:type="dxa" w:w="4320"/>
          </w:tcPr>
          <w:p>
            <w:r>
              <w:t>Synthetic motion blur (15-45 pixel kernel)</w:t>
            </w:r>
          </w:p>
        </w:tc>
      </w:tr>
      <w:tr>
        <w:tc>
          <w:tcPr>
            <w:tcW w:type="dxa" w:w="4320"/>
          </w:tcPr>
          <w:p>
            <w:r>
              <w:t>Test Images</w:t>
            </w:r>
          </w:p>
        </w:tc>
        <w:tc>
          <w:tcPr>
            <w:tcW w:type="dxa" w:w="4320"/>
          </w:tcPr>
          <w:p>
            <w:r>
              <w:t>100+ frames from railway footage</w:t>
            </w:r>
          </w:p>
        </w:tc>
      </w:tr>
    </w:tbl>
    <w:p/>
    <w:p>
      <w:pPr>
        <w:pStyle w:val="Heading1"/>
      </w:pPr>
      <w:r>
        <w:t>Key Achievements</w:t>
      </w:r>
    </w:p>
    <w:p>
      <w:pPr>
        <w:pStyle w:val="ListBullet"/>
      </w:pPr>
      <w:r>
        <w:t>Successfully trained a custom NAFNet model for railway-specific motion blur</w:t>
      </w:r>
    </w:p>
    <w:p>
      <w:pPr>
        <w:pStyle w:val="ListBullet"/>
      </w:pPr>
      <w:r>
        <w:t>Achieved 88.25% structural similarity in deblurring accuracy</w:t>
      </w:r>
    </w:p>
    <w:p>
      <w:pPr>
        <w:pStyle w:val="ListBullet"/>
      </w:pPr>
      <w:r>
        <w:t>Integrated YOLOv8 for robust wagon detection</w:t>
      </w:r>
    </w:p>
    <w:p>
      <w:pPr>
        <w:pStyle w:val="ListBullet"/>
      </w:pPr>
      <w:r>
        <w:t>Implemented end-to-end pipeline: Blur → Deblur → Detect → OCR</w:t>
      </w:r>
    </w:p>
    <w:p>
      <w:pPr>
        <w:pStyle w:val="ListBullet"/>
      </w:pPr>
      <w:r>
        <w:t>GPU-accelerated inference using NVIDIA RTX 4050</w:t>
      </w:r>
    </w:p>
    <w:p>
      <w:pPr>
        <w:pStyle w:val="Heading1"/>
      </w:pPr>
      <w:r>
        <w:t>Conclusion</w:t>
      </w:r>
    </w:p>
    <w:p>
      <w:r>
        <w:t>The AI-powered wagon recognition system demonstrates strong performance in handling motion-blurred railway footage. With a PSNR of 29.33 dB and SSIM accuracy of 88.25%, the deblurring module effectively restores image quality to enable downstream OCR. The system is ready for further optimization and real-world deployment testing.</w:t>
      </w:r>
    </w:p>
    <w:p/>
    <w:p>
      <w:pPr>
        <w:jc w:val="center"/>
      </w:pPr>
      <w:r>
        <w:rPr>
          <w:i/>
          <w:color w:val="808080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