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64A4A">
      <w:pPr>
        <w:jc w:val="center"/>
        <w:rPr>
          <w:rFonts w:hint="eastAsia" w:ascii="Times New Roman" w:hAnsi="Times New Roman" w:cs="Times New Roman" w:eastAsiaTheme="minorEastAsia"/>
          <w:lang w:eastAsia="zh-CN"/>
        </w:rPr>
      </w:pPr>
      <w:r>
        <w:rPr>
          <w:rFonts w:hint="default" w:ascii="Times New Roman" w:hAnsi="Times New Roman" w:cs="Times New Roman"/>
        </w:rPr>
        <w:t>Supplementary Data – Disproportionality Analysis Tables</w:t>
      </w:r>
      <w:bookmarkStart w:id="0" w:name="_GoBack"/>
      <w:bookmarkEnd w:id="0"/>
    </w:p>
    <w:p w14:paraId="6C0425B6">
      <w:pPr>
        <w:rPr>
          <w:rFonts w:hint="default" w:ascii="Times New Roman" w:hAnsi="Times New Roman" w:cs="Times New Roman"/>
        </w:rPr>
      </w:pPr>
    </w:p>
    <w:p w14:paraId="6401F5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The tables systematically present the complete analytical results from applying four standard disproportionality analysis methods (BCPNN, MGPS, PRR, ROR) to data from the U.S. FDA Adverse Event Reporting System (FAERS) and the WHO VigiBase database, for three monoamine oxidase B inhibitors (selegiline, rasagiline, safinamide) and zonisamide.</w:t>
      </w:r>
    </w:p>
    <w:p w14:paraId="5A8B1089">
      <w:pPr>
        <w:rPr>
          <w:rFonts w:hint="default" w:ascii="Times New Roman" w:hAnsi="Times New Roman" w:cs="Times New Roman"/>
        </w:rPr>
      </w:pPr>
    </w:p>
    <w:p w14:paraId="21FE564B">
      <w:pPr>
        <w:rPr>
          <w:rFonts w:hint="default" w:ascii="Times New Roman" w:hAnsi="Times New Roman" w:cs="Times New Roman"/>
        </w:rPr>
      </w:pPr>
      <w:r>
        <w:rPr>
          <w:rFonts w:hint="default" w:ascii="Times New Roman" w:hAnsi="Times New Roman" w:cs="Times New Roman"/>
        </w:rPr>
        <w:t>Content and Structure Overview:</w:t>
      </w:r>
    </w:p>
    <w:p w14:paraId="1269BA8A">
      <w:pPr>
        <w:rPr>
          <w:rFonts w:hint="eastAsia" w:ascii="Times New Roman" w:hAnsi="Times New Roman" w:cs="Times New Roman" w:eastAsiaTheme="minorEastAsia"/>
          <w:lang w:eastAsia="zh-CN"/>
        </w:rPr>
      </w:pPr>
      <w:r>
        <w:rPr>
          <w:rFonts w:hint="default" w:ascii="Times New Roman" w:hAnsi="Times New Roman" w:cs="Times New Roman"/>
        </w:rPr>
        <w:t>1.  Table Overview:</w:t>
      </w:r>
    </w:p>
    <w:p w14:paraId="622855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FAERS Database Analysis Tables: Detail all positive safety signals detected in FAERS, including the Preferred Term (PT) for each signal, the number of reported cases, and the calculated values with 95% confidence intervals for each method (ROR, PRR, BCPNN-IC, MGPS-EBGM).</w:t>
      </w:r>
    </w:p>
    <w:p w14:paraId="2C6C0A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VigiBase External Validation Tables: Present the validation results of key FAERS signals in the VigiBase database using an identical analytical framework, confirming the robustness of signals across databases.</w:t>
      </w:r>
    </w:p>
    <w:p w14:paraId="7CD913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Monotherapy Restriction Analysis Tables: Provide the signal detection results after restricting the analysis to patients receiving only the target drug as monotherapy, used to strengthen causal inference.</w:t>
      </w:r>
    </w:p>
    <w:p w14:paraId="40F5E758">
      <w:pPr>
        <w:rPr>
          <w:rFonts w:hint="default" w:ascii="Times New Roman" w:hAnsi="Times New Roman" w:cs="Times New Roman"/>
        </w:rPr>
      </w:pPr>
    </w:p>
    <w:p w14:paraId="567A0C98">
      <w:pPr>
        <w:rPr>
          <w:rFonts w:hint="eastAsia" w:ascii="Times New Roman" w:hAnsi="Times New Roman" w:cs="Times New Roman" w:eastAsiaTheme="minorEastAsia"/>
          <w:lang w:eastAsia="zh-CN"/>
        </w:rPr>
      </w:pPr>
      <w:r>
        <w:rPr>
          <w:rFonts w:hint="default" w:ascii="Times New Roman" w:hAnsi="Times New Roman" w:cs="Times New Roman"/>
        </w:rPr>
        <w:t>2.  Data Organization:</w:t>
      </w:r>
    </w:p>
    <w:p w14:paraId="42DA1E30">
      <w:pPr>
        <w:rPr>
          <w:rFonts w:hint="default" w:ascii="Times New Roman" w:hAnsi="Times New Roman" w:cs="Times New Roman"/>
        </w:rPr>
      </w:pPr>
      <w:r>
        <w:rPr>
          <w:rFonts w:hint="default" w:ascii="Times New Roman" w:hAnsi="Times New Roman" w:cs="Times New Roman"/>
        </w:rPr>
        <w:t xml:space="preserve">    All tables are clearly organized by drug (selegiline, rasagiline, safinamide, zonisamide) and data source (FAERS, VigiBase). Table columns typically include: Adverse Event Term, Number of Reports, ROR value &amp; CI, PRR value &amp; CI, BCPNN Information Component (IC) &amp; IC025, and MGPS Empirical Bayes Geometric Mean (EBGM) &amp; EBGM05.</w:t>
      </w:r>
    </w:p>
    <w:p w14:paraId="42BA00C8">
      <w:pPr>
        <w:rPr>
          <w:rFonts w:hint="default" w:ascii="Times New Roman" w:hAnsi="Times New Roman" w:cs="Times New Roman"/>
        </w:rPr>
      </w:pPr>
    </w:p>
    <w:p w14:paraId="041E3D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rPr>
        <w:t>This data constitutes a core output of the research and is provided as electronic supplementary material to fully comply with academic standards for data transparency and reproducibility.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99646B"/>
    <w:rsid w:val="1B996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2025-12-19T15:02:00Z</dcterms:created>
  <dc:creator>CHEN</dc:creator>
  <cp:lastModifiedBy>CHEN</cp:lastModifiedBy>
  <dcterms:modified xsi:type="dcterms:W3CDTF">2025-12-19T15:13:32Z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330E6A3ECA1A4901B5708C092AB2060F_11</vt:lpwstr>
  </property>
  <property fmtid="{D5CDD505-2E9C-101B-9397-08002B2CF9AE}" pid="4" name="KSOTemplateDocerSaveRecord">
    <vt:lpwstr>eyJoZGlkIjoiZTY1ZjAwM2E4MWFlNmY0NzhhYzg4ZWUyODg0NmE3ZmQiLCJ1c2VySWQiOiI5MzY5MDQzODYifQ==</vt:lpwstr>
  </property>
</Properties>
</file>