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Times New Roman" w:hAnsi="Times New Roman"/>
          <w:color w:val="000000"/>
          <w:sz w:val="24"/>
        </w:rPr>
        <w:t>Dataset summary after MLU selection and timestamp filtering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440"/>
        <w:gridCol w:w="936"/>
        <w:gridCol w:w="936"/>
        <w:gridCol w:w="936"/>
        <w:gridCol w:w="1152"/>
        <w:gridCol w:w="1152"/>
        <w:gridCol w:w="1152"/>
        <w:gridCol w:w="936"/>
      </w:tblGrid>
      <w:tr>
        <w:trPr>
          <w:cantSplit/>
          <w:tblHeader/>
        </w:trPr>
        <w:tc>
          <w:tcPr>
            <w:tcW w:type="dxa" w:w="1872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Corpus</w:t>
            </w:r>
          </w:p>
        </w:tc>
        <w:tc>
          <w:tcPr>
            <w:tcW w:type="dxa" w:w="1440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Age</w:t>
              <w:br/>
              <w:t>(years;months)</w:t>
            </w:r>
          </w:p>
        </w:tc>
        <w:tc>
          <w:tcPr>
            <w:tcW w:type="dxa" w:w="2808"/>
            <w:gridSpan w:val="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Transcripts</w:t>
            </w:r>
          </w:p>
        </w:tc>
        <w:tc>
          <w:tcPr>
            <w:tcW w:type="dxa" w:w="3456"/>
            <w:gridSpan w:val="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Utterances</w:t>
            </w:r>
          </w:p>
        </w:tc>
        <w:tc>
          <w:tcPr>
            <w:tcW w:type="dxa" w:w="936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Audio</w:t>
              <w:br/>
              <w:t>(hours)</w:t>
            </w:r>
          </w:p>
        </w:tc>
      </w:tr>
      <w:tr>
        <w:trPr>
          <w:cantSplit/>
          <w:tblHeader/>
        </w:trPr>
        <w:tc>
          <w:tcPr>
            <w:tcW w:type="dxa" w:w="1872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TD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</w:tc>
        <w:tc>
          <w:tcPr>
            <w:tcW w:type="dxa" w:w="936"/>
            <w:vMerge/>
          </w:tcPr>
          <w:p/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Braunwald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5;10–7;00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1,007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1,007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0.526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EHS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5;00–6;06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6,702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6,702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3.300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ENNI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5;00–9;00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194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245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4,478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16,792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21,270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19.187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EllisWeismer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2,056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2,097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4,153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2.744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Gelman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1,640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1,640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0.850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Gleason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596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596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0.432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HSLLD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5;00–9;00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5,510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5,510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3.150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MacWhinney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5;02–7;08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128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12,438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12,438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11.227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Nippold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7;06–9;00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247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247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0.221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OCSC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5;00–9;00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80,523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80,523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35.968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POLER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5;03–8;11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283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283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0.482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Rescorla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5;00–9;00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4,768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3,197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7,965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11.488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5;00–9;00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140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733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873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11,302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131,032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142,334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55" w:type="dxa"/>
              <w:right w:w="55" w:type="dxa"/>
            </w:tcMar>
            <w:shd w:fill="EEEEEE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89.576</w:t>
            </w:r>
          </w:p>
        </w:tc>
      </w:tr>
    </w:tbl>
    <w:p>
      <w:pPr>
        <w:spacing w:before="160" w:after="0"/>
      </w:pPr>
      <w:r>
        <w:t>Note. Counts describe transcripts contributing timestamped target-child utterances before subsequent ASR-stage filtering. Repeated recordings of a child count as separate transcripts. CD combines the pipeline’s late-talker and SLI categories; TD denotes typically developing. Ages reproduce the manifest metadata. Audio duration is the sum of extracted utterance intervals.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