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007999" cy="150399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ufs_shield_blu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999" cy="15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SERVIÇO PÚBLICO FEDERAL</w:t>
      </w:r>
      <w:r>
        <w:br/>
      </w:r>
      <w:r>
        <w:rPr>
          <w:b/>
          <w:bCs/>
        </w:rPr>
        <w:t xml:space="preserve">UNIVERSIDADE FEDERAL DE SERGIPE</w:t>
      </w:r>
      <w:r>
        <w:br/>
      </w:r>
      <w:r>
        <w:rPr>
          <w:b/>
          <w:bCs/>
        </w:rPr>
        <w:t xml:space="preserve">PROGRAMA DE PÓS-GRADUAÇÃO EM CIÊNCIA DA COMPUTAÇÃO</w:t>
      </w:r>
      <w:r>
        <w:br/>
      </w:r>
      <w:r>
        <w:rPr>
          <w:b/>
          <w:bCs/>
        </w:rPr>
        <w:t xml:space="preserve">DISCIPLINA: TÓPICOS AVANÇADOS</w:t>
      </w:r>
      <w:r>
        <w:br/>
      </w:r>
      <w:r>
        <w:rPr>
          <w:b/>
          <w:bCs/>
        </w:rPr>
        <w:t xml:space="preserve">Atividade Avaliativa 1</w:t>
      </w:r>
      <w:r>
        <w:br/>
      </w:r>
      <w:r>
        <w:t xml:space="preserve">Curadoria de Datasets e Inferência com LLMs no Domínio Médico</w:t>
      </w:r>
      <w:r>
        <w:br/>
      </w:r>
      <w:r>
        <w:rPr>
          <w:b/>
          <w:bCs/>
        </w:rPr>
        <w:t xml:space="preserve">Relatório Individual</w:t>
      </w:r>
      <w:r>
        <w:br/>
      </w:r>
    </w:p>
    <w:p>
      <w:pPr>
        <w:pStyle w:val="BodyText"/>
      </w:pPr>
      <w:r>
        <w:rPr>
          <w:b/>
          <w:bCs/>
        </w:rPr>
        <w:t xml:space="preserve">Análise das questões abertas 86–100 e das questões de múltipla escolha 136–162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Discente: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Gilson Inácio da Silva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Matrícula: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202611005730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Equipe: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2 - Medicina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Natureza do relatório: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</w:tr>
    </w:tbl>
    <w:p>
      <w:pPr>
        <w:pStyle w:val="BodyText"/>
      </w:pPr>
      <w:r>
        <w:t xml:space="preserve">São Cristóvão – SE</w:t>
      </w:r>
      <w:r>
        <w:br/>
      </w:r>
      <w:r>
        <w:t xml:space="preserve">2026</w:t>
      </w:r>
    </w:p>
    <w:bookmarkStart w:id="23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Atividade Avaliativa 1 da disciplina de Tópicos Avançados teve como foco a curadoria de datasets e o contato inicial com inferência utilizando Modelos de Linguagem de Grande Porte (LLMs) no contexto de domínios críticos. No domínio médico, a proposta envolveu duas frentes complementares: a organização e anotação de um subconjunto de questões abertas do benchmark K-QA e a curadoria de um subconjunto de questões de múltipla escolha do conjunto USMLE com gabarito.</w:t>
      </w:r>
    </w:p>
    <w:p>
      <w:pPr>
        <w:pStyle w:val="BodyText"/>
      </w:pPr>
      <w:r>
        <w:t xml:space="preserve">Neste relatório são documentadas as atividades individuais realizadas por Gilson Inácio da Silva no domínio médico, correspondentes às questões abertas de identificadores oficiais 86 a 100 e às questões de múltipla escolha de identificadores oficiais 136 a 162. O trabalho buscou manter rastreabilidade entre fontes, justificativas clínicas, respostas geradas por modelos e critérios de avaliação, produzindo um conjunto de artefatos reproduzíveis organizado em planilhas CSV, workbook consolidado e script de processamento.</w:t>
      </w:r>
    </w:p>
    <w:p>
      <w:pPr>
        <w:pStyle w:val="BodyText"/>
      </w:pPr>
      <w:r>
        <w:t xml:space="preserve">Do ponto de vista conceitual, o trabalho também procurou respeitar uma preocupação central do uso de LLMs em saúde: respostas linguisticamente parecidas com uma referência não são, necessariamente, respostas clinicamente corretas ou seguras. Em medicina, pequenas mudanças semânticas – por exemplo, afirmar ou negar uma conduta, omitir um sinal de alerta ou suavizar uma contraindicação – podem ter impacto direto sobre o risco clínico. Por essa razão, a avaliação adotada neste recorte individual privilegiou critérios supervisionados de correção clínica, completude, alinhamento com a resposta especialista, segurança e clareza.</w:t>
      </w:r>
    </w:p>
    <w:bookmarkEnd w:id="23"/>
    <w:bookmarkStart w:id="26" w:name="objetivos"/>
    <w:p>
      <w:pPr>
        <w:pStyle w:val="Heading1"/>
      </w:pPr>
      <w:r>
        <w:t xml:space="preserve">Objetivos</w:t>
      </w:r>
    </w:p>
    <w:bookmarkStart w:id="24" w:name="objetivo-geral"/>
    <w:p>
      <w:pPr>
        <w:pStyle w:val="Heading2"/>
      </w:pPr>
      <w:r>
        <w:t xml:space="preserve">Objetivo geral</w:t>
      </w:r>
    </w:p>
    <w:p>
      <w:pPr>
        <w:pStyle w:val="FirstParagraph"/>
      </w:pPr>
      <w:r>
        <w:t xml:space="preserve">Avaliar, de forma documentada e reproduzível, o comportamento de três modelos de linguagem em questões médicas abertas atribuídas ao discente, além de organizar e justificar a curadoria do subconjunto individual de questões de múltipla escolha.</w:t>
      </w:r>
    </w:p>
    <w:bookmarkEnd w:id="24"/>
    <w:bookmarkStart w:id="25" w:name="objetivos-específicos"/>
    <w:p>
      <w:pPr>
        <w:pStyle w:val="Heading2"/>
      </w:pPr>
      <w:r>
        <w:t xml:space="preserve">Objetivos específicos</w:t>
      </w:r>
    </w:p>
    <w:p>
      <w:pPr>
        <w:numPr>
          <w:ilvl w:val="0"/>
          <w:numId w:val="1001"/>
        </w:numPr>
      </w:pPr>
      <w:r>
        <w:t xml:space="preserve">Curar as questões abertas 86–100, registrando dificuldade, especialidade, referência utilizada e observações do curador.</w:t>
      </w:r>
    </w:p>
    <w:p>
      <w:pPr>
        <w:numPr>
          <w:ilvl w:val="0"/>
          <w:numId w:val="1001"/>
        </w:numPr>
      </w:pPr>
      <w:r>
        <w:t xml:space="preserve">Curar as questões de múltipla escolha 136–162, registrando gabarito, especialidade, dificuldade, referência, explicação e notas do curador.</w:t>
      </w:r>
    </w:p>
    <w:p>
      <w:pPr>
        <w:numPr>
          <w:ilvl w:val="0"/>
          <w:numId w:val="1001"/>
        </w:numPr>
      </w:pPr>
      <w:r>
        <w:t xml:space="preserve">Submeter as 15 questões abertas a três modelos de linguagem selecionados.</w:t>
      </w:r>
    </w:p>
    <w:p>
      <w:pPr>
        <w:numPr>
          <w:ilvl w:val="0"/>
          <w:numId w:val="1001"/>
        </w:numPr>
      </w:pPr>
      <w:r>
        <w:t xml:space="preserve">Comparar cada resposta gerada com a resposta padrão-ouro do dataset K-QA.</w:t>
      </w:r>
    </w:p>
    <w:p>
      <w:pPr>
        <w:numPr>
          <w:ilvl w:val="0"/>
          <w:numId w:val="1001"/>
        </w:numPr>
      </w:pPr>
      <w:r>
        <w:t xml:space="preserve">Atribuir notas por critério clínico e produzir uma interpretação qualitativa dos resultados.</w:t>
      </w:r>
    </w:p>
    <w:p>
      <w:pPr>
        <w:numPr>
          <w:ilvl w:val="0"/>
          <w:numId w:val="1001"/>
        </w:numPr>
      </w:pPr>
      <w:r>
        <w:t xml:space="preserve">Consolidar os resultados em arquivos reutilizáveis para composição do repositório individual e posterior integração com a entrega final da atividade.</w:t>
      </w:r>
    </w:p>
    <w:bookmarkEnd w:id="25"/>
    <w:bookmarkEnd w:id="26"/>
    <w:bookmarkStart w:id="30" w:name="bases-de-dados-e-escopo-individual"/>
    <w:p>
      <w:pPr>
        <w:pStyle w:val="Heading1"/>
      </w:pPr>
      <w:r>
        <w:t xml:space="preserve">Bases de dados e escopo individual</w:t>
      </w:r>
    </w:p>
    <w:bookmarkStart w:id="27" w:name="dataset-m1---k-qa"/>
    <w:p>
      <w:pPr>
        <w:pStyle w:val="Heading2"/>
      </w:pPr>
      <w:r>
        <w:t xml:space="preserve">Dataset M1 - K-QA</w:t>
      </w:r>
    </w:p>
    <w:p>
      <w:pPr>
        <w:pStyle w:val="FirstParagraph"/>
      </w:pPr>
      <w:r>
        <w:t xml:space="preserve">O subconjunto de questões abertas foi extraído do benchmark K-QA, descrito no artigo</w:t>
      </w:r>
      <w:r>
        <w:t xml:space="preserve"> </w:t>
      </w:r>
      <w:r>
        <w:rPr>
          <w:i/>
          <w:iCs/>
        </w:rPr>
        <w:t xml:space="preserve">K-QA: A Real World Medical Q&amp;A Benchmark</w:t>
      </w:r>
      <w:r>
        <w:t xml:space="preserve">. Esse dataset apresenta perguntas médicas de linguagem natural acompanhadas de uma resposta livre de especialista (</w:t>
      </w:r>
      <w:r>
        <w:rPr>
          <w:i/>
          <w:iCs/>
        </w:rPr>
        <w:t xml:space="preserve">free-form answer</w:t>
      </w:r>
      <w:r>
        <w:t xml:space="preserve">) e de uma decomposição explícita em elementos essenciais (</w:t>
      </w:r>
      <w:r>
        <w:rPr>
          <w:i/>
          <w:iCs/>
        </w:rPr>
        <w:t xml:space="preserve">Must Have</w:t>
      </w:r>
      <w:r>
        <w:t xml:space="preserve">) e elementos desejáveis (</w:t>
      </w:r>
      <w:r>
        <w:rPr>
          <w:i/>
          <w:iCs/>
        </w:rPr>
        <w:t xml:space="preserve">Nice to Have</w:t>
      </w:r>
      <w:r>
        <w:t xml:space="preserve">). Essa estrutura foi particularmente útil neste trabalho porque permitiu avaliar as respostas dos modelos não apenas por proximidade textual, mas também por cobertura de conteúdo clinicamente relevante.</w:t>
      </w:r>
    </w:p>
    <w:p>
      <w:pPr>
        <w:pStyle w:val="BodyText"/>
      </w:pPr>
      <w:r>
        <w:t xml:space="preserve">No recorte individual deste relatório, foram utilizadas 15 questões abertas, correspondentes aos identificadores 86 a 100.</w:t>
      </w:r>
    </w:p>
    <w:bookmarkEnd w:id="27"/>
    <w:bookmarkStart w:id="28" w:name="dataset-m2---usmle-com-gabarito"/>
    <w:p>
      <w:pPr>
        <w:pStyle w:val="Heading2"/>
      </w:pPr>
      <w:r>
        <w:t xml:space="preserve">Dataset M2 - USMLE com gabarito</w:t>
      </w:r>
    </w:p>
    <w:p>
      <w:pPr>
        <w:pStyle w:val="FirstParagraph"/>
      </w:pPr>
      <w:r>
        <w:t xml:space="preserve">O subconjunto de questões de múltipla escolha foi organizado a partir da base USMLE disponibilizada para a atividade. Neste relatório foram curadas 27 questões, correspondentes aos identificadores oficiais 136 a 162. Para cada item foram registrados enunciado, alternativas, gabarito, especialidade, nível de dificuldade, referência clínica, explicação e notas do curador.</w:t>
      </w:r>
    </w:p>
    <w:bookmarkEnd w:id="28"/>
    <w:bookmarkStart w:id="29" w:name="escopo-efetivamente-executado"/>
    <w:p>
      <w:pPr>
        <w:pStyle w:val="Heading2"/>
      </w:pPr>
      <w:r>
        <w:t xml:space="preserve">Escopo efetivamente executado</w:t>
      </w:r>
    </w:p>
    <w:p>
      <w:pPr>
        <w:pStyle w:val="FirstParagraph"/>
      </w:pPr>
      <w:r>
        <w:t xml:space="preserve">É importante explicitar que, neste recorte individual, a</w:t>
      </w:r>
      <w:r>
        <w:t xml:space="preserve"> </w:t>
      </w:r>
      <w:r>
        <w:rPr>
          <w:b/>
          <w:bCs/>
        </w:rPr>
        <w:t xml:space="preserve">inferência com LLMs e a avaliação quantitativa estruturada foram realizadas sobre as questões abertas</w:t>
      </w:r>
      <w:r>
        <w:t xml:space="preserve">. As questões de múltipla escolha foram</w:t>
      </w:r>
      <w:r>
        <w:t xml:space="preserve"> </w:t>
      </w:r>
      <w:r>
        <w:rPr>
          <w:b/>
          <w:bCs/>
        </w:rPr>
        <w:t xml:space="preserve">integralmente curadas e preparadas</w:t>
      </w:r>
      <w:r>
        <w:t xml:space="preserve">, mas não receberam, neste workbook individual, um bloco adicional de inferência automática com cálculo de acurácia. Essa decisão não foi omissão metodológica; ela reflete exatamente os artefatos efetivamente produzidos e preserva a rastreabilidade entre o que foi executado e o que está documentado.</w:t>
      </w:r>
    </w:p>
    <w:bookmarkEnd w:id="29"/>
    <w:bookmarkEnd w:id="30"/>
    <w:bookmarkStart w:id="31" w:name="fundamentação-teórica"/>
    <w:p>
      <w:pPr>
        <w:pStyle w:val="Heading1"/>
      </w:pPr>
      <w:r>
        <w:t xml:space="preserve">Fundamentação teórica</w:t>
      </w:r>
    </w:p>
    <w:p>
      <w:pPr>
        <w:pStyle w:val="FirstParagraph"/>
      </w:pPr>
      <w:r>
        <w:t xml:space="preserve">Dois eixos teóricos orientaram a execução da atividade. O primeiro foi o próprio desenho do K-QA, que foi concebido para avaliação mais realista de perguntas médicas abertas, com foco em respostas longas e clinicamente densas. Em vez de tratar a referência como uma única frase-alvo, o benchmark separa componentes obrigatórios e desejáveis, permitindo observar lacunas, omissões e extrapolações.</w:t>
      </w:r>
    </w:p>
    <w:p>
      <w:pPr>
        <w:pStyle w:val="BodyText"/>
      </w:pPr>
      <w:r>
        <w:t xml:space="preserve">O segundo eixo foi o artigo</w:t>
      </w:r>
      <w:r>
        <w:t xml:space="preserve"> </w:t>
      </w:r>
      <w:r>
        <w:rPr>
          <w:i/>
          <w:iCs/>
        </w:rPr>
        <w:t xml:space="preserve">Large Language Models in Medicine</w:t>
      </w:r>
      <w:r>
        <w:t xml:space="preserve">, utilizado como base complementar para a discussão metodológica. De modo consistente com essa literatura, este trabalho assume que LLMs podem ser úteis como ferramenta assistiva de organização e síntese, mas que, em domínio médico, sua avaliação precisa ser supervisionada por critérios mais fortes do que simples sobreposição de palavras. Isso justifica a opção por um protocolo manual e estruturado de avaliação, em vez de depender exclusivamente de BLEU, ROUGE ou outras métricas lexicais.</w:t>
      </w:r>
    </w:p>
    <w:p>
      <w:pPr>
        <w:pStyle w:val="BodyText"/>
      </w:pPr>
      <w:r>
        <w:t xml:space="preserve">Assim, embora métricas automáticas de similaridade possam ser úteis em certas tarefas, o procedimento adotado aqui foi deliberadamente conservador: comparar a saída dos modelos com a resposta especialista e pontuá-la segundo critérios explicitamente relacionados à segurança e à qualidade clínica.</w:t>
      </w:r>
    </w:p>
    <w:bookmarkEnd w:id="31"/>
    <w:bookmarkStart w:id="32" w:name="materiais-e-organização-dos-arquivos"/>
    <w:p>
      <w:pPr>
        <w:pStyle w:val="Heading1"/>
      </w:pPr>
      <w:r>
        <w:t xml:space="preserve">Materiais e organização dos arquivos</w:t>
      </w:r>
    </w:p>
    <w:p>
      <w:pPr>
        <w:pStyle w:val="FirstParagraph"/>
      </w:pPr>
      <w:r>
        <w:t xml:space="preserve">A estrutura final de trabalho ficou organizada da seguinte forma:</w:t>
      </w:r>
    </w:p>
    <w:p>
      <w:pPr>
        <w:pStyle w:val="SourceCode"/>
      </w:pPr>
      <w:r>
        <w:rPr>
          <w:rStyle w:val="VerbatimChar"/>
        </w:rPr>
        <w:t xml:space="preserve">atividade1_med_gilson/</w:t>
      </w:r>
      <w:r>
        <w:br/>
      </w:r>
      <w:r>
        <w:rPr>
          <w:rStyle w:val="VerbatimChar"/>
        </w:rPr>
        <w:t xml:space="preserve">|-- data/</w:t>
      </w:r>
      <w:r>
        <w:br/>
      </w:r>
      <w:r>
        <w:rPr>
          <w:rStyle w:val="VerbatimChar"/>
        </w:rPr>
        <w:t xml:space="preserve">|   |-- dataset.json</w:t>
      </w:r>
      <w:r>
        <w:br/>
      </w:r>
      <w:r>
        <w:rPr>
          <w:rStyle w:val="VerbatimChar"/>
        </w:rPr>
        <w:t xml:space="preserve">|   |-- questions_w_answers.jsonl</w:t>
      </w:r>
      <w:r>
        <w:br/>
      </w:r>
      <w:r>
        <w:rPr>
          <w:rStyle w:val="VerbatimChar"/>
        </w:rPr>
        <w:t xml:space="preserve">|   `-- usmle_questions.json</w:t>
      </w:r>
      <w:r>
        <w:br/>
      </w:r>
      <w:r>
        <w:rPr>
          <w:rStyle w:val="VerbatimChar"/>
        </w:rPr>
        <w:t xml:space="preserve">|-- outputs/</w:t>
      </w:r>
      <w:r>
        <w:br/>
      </w:r>
      <w:r>
        <w:rPr>
          <w:rStyle w:val="VerbatimChar"/>
        </w:rPr>
        <w:t xml:space="preserve">|   |-- curadoria_abertas.csv</w:t>
      </w:r>
      <w:r>
        <w:br/>
      </w:r>
      <w:r>
        <w:rPr>
          <w:rStyle w:val="VerbatimChar"/>
        </w:rPr>
        <w:t xml:space="preserve">|   |-- curadoria_mc.csv</w:t>
      </w:r>
      <w:r>
        <w:br/>
      </w:r>
      <w:r>
        <w:rPr>
          <w:rStyle w:val="VerbatimChar"/>
        </w:rPr>
        <w:t xml:space="preserve">|   |-- respostas_llms.csv</w:t>
      </w:r>
      <w:r>
        <w:br/>
      </w:r>
      <w:r>
        <w:rPr>
          <w:rStyle w:val="VerbatimChar"/>
        </w:rPr>
        <w:t xml:space="preserve">|   |-- avaliacao_llms.csv</w:t>
      </w:r>
      <w:r>
        <w:br/>
      </w:r>
      <w:r>
        <w:rPr>
          <w:rStyle w:val="VerbatimChar"/>
        </w:rPr>
        <w:t xml:space="preserve">|   `-- Workbook_Equipe2_Medicina_Atividade1_Gilson_Inacio_da_Silva.xlsx</w:t>
      </w:r>
      <w:r>
        <w:br/>
      </w:r>
      <w:r>
        <w:rPr>
          <w:rStyle w:val="VerbatimChar"/>
        </w:rPr>
        <w:t xml:space="preserve">|-- scripts/</w:t>
      </w:r>
      <w:r>
        <w:br/>
      </w:r>
      <w:r>
        <w:rPr>
          <w:rStyle w:val="VerbatimChar"/>
        </w:rPr>
        <w:t xml:space="preserve">|   `-- processar.py</w:t>
      </w:r>
      <w:r>
        <w:br/>
      </w:r>
      <w:r>
        <w:rPr>
          <w:rStyle w:val="VerbatimChar"/>
        </w:rPr>
        <w:t xml:space="preserve">`-- README.md</w:t>
      </w:r>
    </w:p>
    <w:p>
      <w:pPr>
        <w:pStyle w:val="FirstParagraph"/>
      </w:pPr>
      <w:r>
        <w:t xml:space="preserve">Os arquivos centrais utilizados neste relatório são o workbook consolidado e os quatro CSVs de saída: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curadoria_abertas.csv</w:t>
      </w:r>
      <w:r>
        <w:t xml:space="preserve">: curadoria das questões abertas 86–100;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curadoria_mc.csv</w:t>
      </w:r>
      <w:r>
        <w:t xml:space="preserve">: curadoria das questões de múltipla escolha 136–162;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respostas_llms.csv</w:t>
      </w:r>
      <w:r>
        <w:t xml:space="preserve">: registro das respostas dos três modelos para as questões abertas;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avaliacao_llms.csv</w:t>
      </w:r>
      <w:r>
        <w:t xml:space="preserve">: avaliação detalhada por critério e por modelo.</w:t>
      </w:r>
    </w:p>
    <w:bookmarkEnd w:id="32"/>
    <w:bookmarkStart w:id="38" w:name="metodologia"/>
    <w:p>
      <w:pPr>
        <w:pStyle w:val="Heading1"/>
      </w:pPr>
      <w:r>
        <w:t xml:space="preserve">Metodologia</w:t>
      </w:r>
    </w:p>
    <w:bookmarkStart w:id="33" w:name="curadoria-das-questões-abertas"/>
    <w:p>
      <w:pPr>
        <w:pStyle w:val="Heading2"/>
      </w:pPr>
      <w:r>
        <w:t xml:space="preserve">Curadoria das questões abertas</w:t>
      </w:r>
    </w:p>
    <w:p>
      <w:pPr>
        <w:pStyle w:val="FirstParagraph"/>
      </w:pPr>
      <w:r>
        <w:t xml:space="preserve">Para cada uma das 15 questões abertas do lote individual, foram mantidos ou organizados os seguintes campos: identificador oficial, pergunta, resposta padrão-ouro, itens obrigatórios (</w:t>
      </w:r>
      <w:r>
        <w:rPr>
          <w:i/>
          <w:iCs/>
        </w:rPr>
        <w:t xml:space="preserve">must have</w:t>
      </w:r>
      <w:r>
        <w:t xml:space="preserve">), itens desejáveis (</w:t>
      </w:r>
      <w:r>
        <w:rPr>
          <w:i/>
          <w:iCs/>
        </w:rPr>
        <w:t xml:space="preserve">nice to have</w:t>
      </w:r>
      <w:r>
        <w:t xml:space="preserve">), fonte clínica, dificuldade, especialidade, referência utilizada e nota do curador.</w:t>
      </w:r>
    </w:p>
    <w:p>
      <w:pPr>
        <w:pStyle w:val="BodyText"/>
      </w:pPr>
      <w:r>
        <w:t xml:space="preserve">A curadoria das abertas teve dois objetivos práticos. Primeiro, facilitar a interpretação clínica mínima necessária para ler a resposta padrão-ouro. Segundo, explicitar, na coluna</w:t>
      </w:r>
      <w:r>
        <w:t xml:space="preserve"> </w:t>
      </w:r>
      <w:r>
        <w:rPr>
          <w:rStyle w:val="VerbatimChar"/>
        </w:rPr>
        <w:t xml:space="preserve">curator_notes</w:t>
      </w:r>
      <w:r>
        <w:t xml:space="preserve">, o foco central da questão de forma curta e operacional, permitindo rastrear rapidamente o que deveria ser observado nas respostas dos LLMs.</w:t>
      </w:r>
    </w:p>
    <w:bookmarkEnd w:id="33"/>
    <w:bookmarkStart w:id="34" w:name="Xf6fe3040c357dce9b2394588c4d7a4aab9a6e92"/>
    <w:p>
      <w:pPr>
        <w:pStyle w:val="Heading2"/>
      </w:pPr>
      <w:r>
        <w:t xml:space="preserve">Curadoria das questões de múltipla escolha</w:t>
      </w:r>
    </w:p>
    <w:p>
      <w:pPr>
        <w:pStyle w:val="FirstParagraph"/>
      </w:pPr>
      <w:r>
        <w:t xml:space="preserve">As 27 questões de múltipla escolha foram curadas de forma independente das abertas. Para cada item foram organizados:</w:t>
      </w:r>
    </w:p>
    <w:p>
      <w:pPr>
        <w:numPr>
          <w:ilvl w:val="0"/>
          <w:numId w:val="1003"/>
        </w:numPr>
      </w:pPr>
      <w:r>
        <w:t xml:space="preserve">identificadores da questão;</w:t>
      </w:r>
    </w:p>
    <w:p>
      <w:pPr>
        <w:numPr>
          <w:ilvl w:val="0"/>
          <w:numId w:val="1003"/>
        </w:numPr>
      </w:pPr>
      <w:r>
        <w:t xml:space="preserve">enunciado e alternativas;</w:t>
      </w:r>
    </w:p>
    <w:p>
      <w:pPr>
        <w:numPr>
          <w:ilvl w:val="0"/>
          <w:numId w:val="1003"/>
        </w:numPr>
      </w:pPr>
      <w:r>
        <w:t xml:space="preserve">gabarito registrado na base;</w:t>
      </w:r>
    </w:p>
    <w:p>
      <w:pPr>
        <w:numPr>
          <w:ilvl w:val="0"/>
          <w:numId w:val="1003"/>
        </w:numPr>
      </w:pPr>
      <w:r>
        <w:t xml:space="preserve">nível de dificuldade;</w:t>
      </w:r>
    </w:p>
    <w:p>
      <w:pPr>
        <w:numPr>
          <w:ilvl w:val="0"/>
          <w:numId w:val="1003"/>
        </w:numPr>
      </w:pPr>
      <w:r>
        <w:t xml:space="preserve">especialidade;</w:t>
      </w:r>
    </w:p>
    <w:p>
      <w:pPr>
        <w:numPr>
          <w:ilvl w:val="0"/>
          <w:numId w:val="1003"/>
        </w:numPr>
      </w:pPr>
      <w:r>
        <w:t xml:space="preserve">referência clínica utilizada;</w:t>
      </w:r>
    </w:p>
    <w:p>
      <w:pPr>
        <w:numPr>
          <w:ilvl w:val="0"/>
          <w:numId w:val="1003"/>
        </w:numPr>
      </w:pPr>
      <w:r>
        <w:t xml:space="preserve">explicação técnica da alternativa correta;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curator notes</w:t>
      </w:r>
      <w:r>
        <w:t xml:space="preserve">.</w:t>
      </w:r>
    </w:p>
    <w:p>
      <w:pPr>
        <w:pStyle w:val="FirstParagraph"/>
      </w:pPr>
      <w:r>
        <w:t xml:space="preserve">Essa curadoria serviu como base documental do lote de múltipla escolha e como preparação para eventual replicação posterior, seja pela equipe, seja em uma etapa futura com inferência automática.</w:t>
      </w:r>
    </w:p>
    <w:bookmarkEnd w:id="34"/>
    <w:bookmarkStart w:id="35" w:name="modelos-avaliados"/>
    <w:p>
      <w:pPr>
        <w:pStyle w:val="Heading2"/>
      </w:pPr>
      <w:r>
        <w:t xml:space="preserve">Modelos avaliados</w:t>
      </w:r>
    </w:p>
    <w:p>
      <w:pPr>
        <w:pStyle w:val="FirstParagraph"/>
      </w:pPr>
      <w:r>
        <w:t xml:space="preserve">As questões abertas foram submetidas a três modelos:</w:t>
      </w:r>
    </w:p>
    <w:p>
      <w:pPr>
        <w:numPr>
          <w:ilvl w:val="0"/>
          <w:numId w:val="1004"/>
        </w:numPr>
      </w:pPr>
      <w:r>
        <w:t xml:space="preserve">GPT-5.4 Thinking</w:t>
      </w:r>
    </w:p>
    <w:p>
      <w:pPr>
        <w:numPr>
          <w:ilvl w:val="0"/>
          <w:numId w:val="1004"/>
        </w:numPr>
      </w:pPr>
      <w:r>
        <w:t xml:space="preserve">Claude 4.6 Sonnet</w:t>
      </w:r>
    </w:p>
    <w:p>
      <w:pPr>
        <w:numPr>
          <w:ilvl w:val="0"/>
          <w:numId w:val="1004"/>
        </w:numPr>
      </w:pPr>
      <w:r>
        <w:t xml:space="preserve">Gemini 3.0</w:t>
      </w:r>
    </w:p>
    <w:p>
      <w:pPr>
        <w:pStyle w:val="FirstParagraph"/>
      </w:pPr>
      <w:r>
        <w:t xml:space="preserve">As respostas foram registradas integralmente no arquivo</w:t>
      </w:r>
      <w:r>
        <w:t xml:space="preserve"> </w:t>
      </w:r>
      <w:r>
        <w:rPr>
          <w:rStyle w:val="VerbatimChar"/>
        </w:rPr>
        <w:t xml:space="preserve">respostas_llms.csv</w:t>
      </w:r>
      <w:r>
        <w:t xml:space="preserve"> </w:t>
      </w:r>
      <w:r>
        <w:t xml:space="preserve">e no workbook final.</w:t>
      </w:r>
    </w:p>
    <w:bookmarkEnd w:id="35"/>
    <w:bookmarkStart w:id="36" w:name="critérios-de-avaliação"/>
    <w:p>
      <w:pPr>
        <w:pStyle w:val="Heading2"/>
      </w:pPr>
      <w:r>
        <w:t xml:space="preserve">Critérios de avaliação</w:t>
      </w:r>
    </w:p>
    <w:p>
      <w:pPr>
        <w:pStyle w:val="FirstParagraph"/>
      </w:pPr>
      <w:r>
        <w:t xml:space="preserve">Cada resposta gerada foi avaliada segundo cinco critérios, todos em escala de 0 a 2: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Clinical Correctness</w:t>
      </w:r>
      <w:r>
        <w:t xml:space="preserve">: correção clínica da resposta;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Completeness</w:t>
      </w:r>
      <w:r>
        <w:t xml:space="preserve">: nível de cobertura do conteúdo essencial;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Alignment with Gold Answer</w:t>
      </w:r>
      <w:r>
        <w:t xml:space="preserve">: proximidade semântica e conceitual com a resposta especialista;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Safety</w:t>
      </w:r>
      <w:r>
        <w:t xml:space="preserve">: grau de segurança clínica da orientação fornecida;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Clarity</w:t>
      </w:r>
      <w:r>
        <w:t xml:space="preserve">: clareza e legibilidade da resposta.</w:t>
      </w:r>
    </w:p>
    <w:p>
      <w:pPr>
        <w:pStyle w:val="FirstParagraph"/>
      </w:pPr>
      <w:r>
        <w:t xml:space="preserve">A soma gera uma nota total de 0 a 10 por resposta. Como foram 15 perguntas e 3 modelos, o arquivo final de avaliação contém 45 linhas.</w:t>
      </w:r>
    </w:p>
    <w:bookmarkEnd w:id="36"/>
    <w:bookmarkStart w:id="37" w:name="justificativa-metodológica"/>
    <w:p>
      <w:pPr>
        <w:pStyle w:val="Heading2"/>
      </w:pPr>
      <w:r>
        <w:t xml:space="preserve">Justificativa metodológica</w:t>
      </w:r>
    </w:p>
    <w:p>
      <w:pPr>
        <w:pStyle w:val="FirstParagraph"/>
      </w:pPr>
      <w:r>
        <w:t xml:space="preserve">A escolha por essa rubrica foi intencional. Embora a formulação mais ampla da atividade admita métricas como BLEU, ROUGE, F1, BERTScore, acurácia, embeddings e LLM-judge, neste recorte individual foi adotado um processo manual supervisionado por critérios clínicos, por três razões principais:</w:t>
      </w:r>
    </w:p>
    <w:p>
      <w:pPr>
        <w:numPr>
          <w:ilvl w:val="0"/>
          <w:numId w:val="1006"/>
        </w:numPr>
      </w:pPr>
      <w:r>
        <w:t xml:space="preserve">o domínio é crítico e exige penalização explícita de respostas inseguras;</w:t>
      </w:r>
    </w:p>
    <w:p>
      <w:pPr>
        <w:numPr>
          <w:ilvl w:val="0"/>
          <w:numId w:val="1006"/>
        </w:numPr>
      </w:pPr>
      <w:r>
        <w:t xml:space="preserve">o lote individual é pequeno, o que torna viável a avaliação criteriosa resposta a resposta;</w:t>
      </w:r>
    </w:p>
    <w:p>
      <w:pPr>
        <w:numPr>
          <w:ilvl w:val="0"/>
          <w:numId w:val="1006"/>
        </w:numPr>
      </w:pPr>
      <w:r>
        <w:t xml:space="preserve">o próprio K-QA fornece uma estrutura de referência rica (</w:t>
      </w:r>
      <w:r>
        <w:rPr>
          <w:i/>
          <w:iCs/>
        </w:rPr>
        <w:t xml:space="preserve">gold answer</w:t>
      </w:r>
      <w:r>
        <w:t xml:space="preserve">,</w:t>
      </w:r>
      <w:r>
        <w:t xml:space="preserve"> </w:t>
      </w:r>
      <w:r>
        <w:rPr>
          <w:i/>
          <w:iCs/>
        </w:rPr>
        <w:t xml:space="preserve">must have</w:t>
      </w:r>
      <w:r>
        <w:t xml:space="preserve">,</w:t>
      </w:r>
      <w:r>
        <w:t xml:space="preserve"> </w:t>
      </w:r>
      <w:r>
        <w:rPr>
          <w:i/>
          <w:iCs/>
        </w:rPr>
        <w:t xml:space="preserve">nice to have</w:t>
      </w:r>
      <w:r>
        <w:t xml:space="preserve">), favorecendo avaliação supervisionada em vez de simples sobreposição lexical.</w:t>
      </w:r>
    </w:p>
    <w:bookmarkEnd w:id="37"/>
    <w:bookmarkEnd w:id="38"/>
    <w:bookmarkStart w:id="45" w:name="resultados"/>
    <w:p>
      <w:pPr>
        <w:pStyle w:val="Heading1"/>
      </w:pPr>
      <w:r>
        <w:t xml:space="preserve">Resultados</w:t>
      </w:r>
    </w:p>
    <w:bookmarkStart w:id="39" w:name="X4ea2654b114d251710a7b7ae32651a9af1de36f"/>
    <w:p>
      <w:pPr>
        <w:pStyle w:val="Heading2"/>
      </w:pPr>
      <w:r>
        <w:t xml:space="preserve">Panorama quantitativo do material produzido</w:t>
      </w:r>
    </w:p>
    <w:p>
      <w:pPr>
        <w:pStyle w:val="FirstParagraph"/>
      </w:pPr>
      <w:r>
        <w:t xml:space="preserve">O trabalho individual gerou os seguintes volumes:</w:t>
      </w:r>
    </w:p>
    <w:p>
      <w:pPr>
        <w:numPr>
          <w:ilvl w:val="0"/>
          <w:numId w:val="1007"/>
        </w:numPr>
      </w:pPr>
      <w:r>
        <w:t xml:space="preserve">15 questões abertas curadas;</w:t>
      </w:r>
    </w:p>
    <w:p>
      <w:pPr>
        <w:numPr>
          <w:ilvl w:val="0"/>
          <w:numId w:val="1007"/>
        </w:numPr>
      </w:pPr>
      <w:r>
        <w:t xml:space="preserve">27 questões de múltipla escolha curadas;</w:t>
      </w:r>
    </w:p>
    <w:p>
      <w:pPr>
        <w:numPr>
          <w:ilvl w:val="0"/>
          <w:numId w:val="1007"/>
        </w:numPr>
      </w:pPr>
      <w:r>
        <w:t xml:space="preserve">45 respostas de LLMs registradas (15 questões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modelos);</w:t>
      </w:r>
    </w:p>
    <w:p>
      <w:pPr>
        <w:numPr>
          <w:ilvl w:val="0"/>
          <w:numId w:val="1007"/>
        </w:numPr>
      </w:pPr>
      <w:r>
        <w:t xml:space="preserve">45 linhas de avaliação estruturada.</w:t>
      </w:r>
    </w:p>
    <w:p>
      <w:pPr>
        <w:pStyle w:val="FirstParagraph"/>
      </w:pPr>
      <w:r>
        <w:t xml:space="preserve">Quanto à distribuição de dificuldade: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Questões abertas</w:t>
      </w:r>
      <w:r>
        <w:t xml:space="preserve">: 11 classificadas como</w:t>
      </w:r>
      <w:r>
        <w:t xml:space="preserve"> </w:t>
      </w:r>
      <w:r>
        <w:rPr>
          <w:i/>
          <w:iCs/>
        </w:rPr>
        <w:t xml:space="preserve">Easy</w:t>
      </w:r>
      <w:r>
        <w:t xml:space="preserve"> </w:t>
      </w:r>
      <w:r>
        <w:t xml:space="preserve">e 4 como</w:t>
      </w:r>
      <w:r>
        <w:t xml:space="preserve"> </w:t>
      </w:r>
      <w:r>
        <w:rPr>
          <w:i/>
          <w:iCs/>
        </w:rPr>
        <w:t xml:space="preserve">Medium</w:t>
      </w:r>
      <w:r>
        <w:t xml:space="preserve">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Questões de múltipla escolha</w:t>
      </w:r>
      <w:r>
        <w:t xml:space="preserve">: 5</w:t>
      </w:r>
      <w:r>
        <w:t xml:space="preserve"> </w:t>
      </w:r>
      <w:r>
        <w:rPr>
          <w:i/>
          <w:iCs/>
        </w:rPr>
        <w:t xml:space="preserve">Easy</w:t>
      </w:r>
      <w:r>
        <w:t xml:space="preserve">, 18</w:t>
      </w:r>
      <w:r>
        <w:t xml:space="preserve"> </w:t>
      </w:r>
      <w:r>
        <w:rPr>
          <w:i/>
          <w:iCs/>
        </w:rPr>
        <w:t xml:space="preserve">Medium</w:t>
      </w:r>
      <w:r>
        <w:t xml:space="preserve"> </w:t>
      </w:r>
      <w:r>
        <w:t xml:space="preserve">e 4</w:t>
      </w:r>
      <w:r>
        <w:t xml:space="preserve"> </w:t>
      </w:r>
      <w:r>
        <w:rPr>
          <w:i/>
          <w:iCs/>
        </w:rPr>
        <w:t xml:space="preserve">Hard</w:t>
      </w:r>
      <w:r>
        <w:t xml:space="preserve">.</w:t>
      </w:r>
    </w:p>
    <w:bookmarkEnd w:id="39"/>
    <w:bookmarkStart w:id="42" w:name="médias-por-modelo"/>
    <w:p>
      <w:pPr>
        <w:pStyle w:val="Heading2"/>
      </w:pPr>
      <w:r>
        <w:t xml:space="preserve">Médias por modelo</w:t>
      </w:r>
    </w:p>
    <w:p>
      <w:pPr>
        <w:pStyle w:val="FirstParagraph"/>
      </w:pPr>
      <w:r>
        <w:t xml:space="preserve">A Tabela</w:t>
      </w:r>
      <w:r>
        <w:t xml:space="preserve"> </w:t>
      </w:r>
      <w:hyperlink w:anchor="tab:medias-modelo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resume as médias obtidas por modelo na avaliação das questões abertas.</w:t>
      </w:r>
    </w:p>
    <w:bookmarkStart w:id="40" w:name="tab:medias-modelos"/>
    <w:p>
      <w:pPr>
        <w:pStyle w:val="TableCaption"/>
      </w:pPr>
      <w:r>
        <w:t xml:space="preserve">Médias por critério e nota total por modelo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Médias por critério e nota total por modelo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Comp.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Align.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Clarity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GPT-5.4 Thinking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4.6 Sonnet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9.47</w:t>
            </w:r>
          </w:p>
        </w:tc>
      </w:tr>
    </w:tbl>
    <w:bookmarkEnd w:id="40"/>
    <w:p>
      <w:pPr>
        <w:pStyle w:val="BodyText"/>
      </w:pPr>
      <w:r>
        <w:t xml:space="preserve">A Tabela</w:t>
      </w:r>
      <w:r>
        <w:t xml:space="preserve"> </w:t>
      </w:r>
      <w:hyperlink w:anchor="tab:faixas-not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mostra a distribuição de notas máximas, intermediárias e mais baixas por modelo.</w:t>
      </w:r>
    </w:p>
    <w:bookmarkStart w:id="41" w:name="tab:faixas-nota"/>
    <w:p>
      <w:pPr>
        <w:pStyle w:val="TableCaption"/>
      </w:pPr>
      <w:r>
        <w:t xml:space="preserve">Distribuição de notas por modelo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Distribuição de notas por modelo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Questões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Nota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Nota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Nota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GPT-5.4 Thinking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4.6 Sonnet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41"/>
    <w:bookmarkEnd w:id="42"/>
    <w:bookmarkStart w:id="43" w:name="interpretação-dos-resultados"/>
    <w:p>
      <w:pPr>
        <w:pStyle w:val="Heading2"/>
      </w:pPr>
      <w:r>
        <w:t xml:space="preserve">Interpretação dos resultados</w:t>
      </w:r>
    </w:p>
    <w:p>
      <w:pPr>
        <w:pStyle w:val="FirstParagraph"/>
      </w:pPr>
      <w:r>
        <w:t xml:space="preserve">Os resultados mostram um padrão relativamente claro. O GPT-5.4 Thinking obteve a maior média total (9.67/10), sem nenhuma ocorrência abaixo de 9. Em termos práticos, esse comportamento sugere maior consistência global em correção clínica, segurança e alinhamento com a resposta especialista, ainda que algumas respostas tenham sido deliberadamente mais concisas, o que explica sua média de completude um pouco menor.</w:t>
      </w:r>
    </w:p>
    <w:p>
      <w:pPr>
        <w:pStyle w:val="BodyText"/>
      </w:pPr>
      <w:r>
        <w:t xml:space="preserve">Claude 4.6 Sonnet e Gemini 3.0 apresentaram médias totais idênticas (9.47/10), mas por trajetórias qualitativamente um pouco diferentes. O Claude foi, em vários casos, mais detalhado e interpretativo, o que favoreceu completude em parte do lote; por outro lado, algumas formulações se afastaram do foco exato da resposta padrão-ouro. O Gemini, por sua vez, manteve boa segurança e boa clareza, mas em alguns casos apresentou respostas mais genéricas, menos aderentes ao núcleo específico da pergunta.</w:t>
      </w:r>
    </w:p>
    <w:bookmarkEnd w:id="43"/>
    <w:bookmarkStart w:id="44" w:name="exemplos-representativos"/>
    <w:p>
      <w:pPr>
        <w:pStyle w:val="Heading2"/>
      </w:pPr>
      <w:r>
        <w:t xml:space="preserve">Exemplos representativos</w:t>
      </w:r>
    </w:p>
    <w:p>
      <w:pPr>
        <w:pStyle w:val="FirstParagraph"/>
      </w:pPr>
      <w:r>
        <w:t xml:space="preserve">Três casos foram particularmente úteis para discussão: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Questão 87 (fluoxetina / interrupção do tratamento):</w:t>
      </w:r>
      <w:r>
        <w:t xml:space="preserve"> </w:t>
      </w:r>
      <w:r>
        <w:t xml:space="preserve">o Claude recebeu nota 7 porque sugeriu que, em alguns cenários, a suspensão abrupta poderia ser tolerada, enfraquecendo a orientação principal de evitar interrupção súbita sem supervisão médica.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Questão 88 (distensão muscular):</w:t>
      </w:r>
      <w:r>
        <w:t xml:space="preserve"> </w:t>
      </w:r>
      <w:r>
        <w:t xml:space="preserve">o Claude recebeu nota 8 por indicar um horizonte temporal mais curto para quadros graves, enquanto a resposta especialista admitia recuperação ao longo de meses. O GPT também ficou abaixo de 10 por ser mais conciso e não detalhar medidas de alívio e fatores de recuperação.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Questão 91 (uso de Tinactin):</w:t>
      </w:r>
      <w:r>
        <w:t xml:space="preserve"> </w:t>
      </w:r>
      <w:r>
        <w:t xml:space="preserve">o Gemini recebeu nota 7 porque, embora seguro, concentrou-se mais em cautelas diagnósticas gerais do que nas indicações mais típicas, esperadas e específicas do padrão-ouro para infecções fúngicas superficiais.</w:t>
      </w:r>
    </w:p>
    <w:p>
      <w:pPr>
        <w:pStyle w:val="FirstParagraph"/>
      </w:pPr>
      <w:r>
        <w:t xml:space="preserve">Esses exemplos mostram que a maior parte das diferenças entre os modelos, neste lote, não veio de erros grosseiros, mas de nuances importantes para medicina: grau de especificidade, prudência terapêutica, cobertura de sinais de alerta e aderência ao foco clínico central.</w:t>
      </w:r>
    </w:p>
    <w:bookmarkEnd w:id="44"/>
    <w:bookmarkEnd w:id="45"/>
    <w:bookmarkStart w:id="46" w:name="discussão"/>
    <w:p>
      <w:pPr>
        <w:pStyle w:val="Heading1"/>
      </w:pPr>
      <w:r>
        <w:t xml:space="preserve">Discussão</w:t>
      </w:r>
    </w:p>
    <w:p>
      <w:pPr>
        <w:pStyle w:val="FirstParagraph"/>
      </w:pPr>
      <w:r>
        <w:t xml:space="preserve">Os resultados deste recorte individual reforçam uma hipótese importante para aplicações de LLMs em saúde:</w:t>
      </w:r>
      <w:r>
        <w:t xml:space="preserve"> </w:t>
      </w:r>
      <w:r>
        <w:rPr>
          <w:b/>
          <w:bCs/>
        </w:rPr>
        <w:t xml:space="preserve">uma resposta pode ser linguisticamente boa e ainda assim perder valor clínico se errar o foco, suavizar uma contraindicação, omitir um sinal de alerta ou deslocar a recomendação principal</w:t>
      </w:r>
      <w:r>
        <w:t xml:space="preserve">. Foi justamente por isso que a estratégia adotada neste trabalho não dependeu de similaridade lexical como critério principal.</w:t>
      </w:r>
    </w:p>
    <w:p>
      <w:pPr>
        <w:pStyle w:val="BodyText"/>
      </w:pPr>
      <w:r>
        <w:t xml:space="preserve">A combinação entre resposta padrão-ouro, campos</w:t>
      </w:r>
      <w:r>
        <w:t xml:space="preserve"> </w:t>
      </w:r>
      <w:r>
        <w:rPr>
          <w:i/>
          <w:iCs/>
        </w:rPr>
        <w:t xml:space="preserve">must have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nice to have</w:t>
      </w:r>
      <w:r>
        <w:t xml:space="preserve">, observações por questão e rubrica supervisionada permitiu uma avaliação mais alinhada com a natureza do problema. Em vez de perguntar apenas</w:t>
      </w:r>
      <w:r>
        <w:t xml:space="preserve"> </w:t>
      </w:r>
      <w:r>
        <w:t xml:space="preserve">“</w:t>
      </w:r>
      <w:r>
        <w:t xml:space="preserve">quão parecido</w:t>
      </w:r>
      <w:r>
        <w:t xml:space="preserve">”</w:t>
      </w:r>
      <w:r>
        <w:t xml:space="preserve"> </w:t>
      </w:r>
      <w:r>
        <w:t xml:space="preserve">um texto é do outro, a pergunta metodológica passou a ser:</w:t>
      </w:r>
      <w:r>
        <w:t xml:space="preserve"> </w:t>
      </w:r>
      <w:r>
        <w:rPr>
          <w:i/>
          <w:iCs/>
        </w:rPr>
        <w:t xml:space="preserve">a resposta está clinicamente correta, cobre o essencial, permanece segura e continua alinhada ao que o especialista considerou adequado?</w:t>
      </w:r>
    </w:p>
    <w:p>
      <w:pPr>
        <w:pStyle w:val="BodyText"/>
      </w:pPr>
      <w:r>
        <w:t xml:space="preserve">Essa abordagem também dialoga com a literatura atual sobre LLMs em medicina. Modelos podem ser bastante úteis na geração de respostas organizadas, claras e semanticamente próximas da referência. Entretanto, a utilidade prática depende de salvaguardas. Neste trabalho, as salvaguardas adotadas foram explícitas: avaliação resposta a resposta, confronto com padrão-ouro e atribuição de nota por critério clínico.</w:t>
      </w:r>
    </w:p>
    <w:p>
      <w:pPr>
        <w:pStyle w:val="BodyText"/>
      </w:pPr>
      <w:r>
        <w:t xml:space="preserve">Outro ponto importante é que o lote de múltipla escolha, embora não tenha sido inferido automaticamente neste workbook individual, foi integralmente preparado e curado. Isso não é secundário. Em avaliações futuras, essa curadoria já deixa estruturados o gabarito, a justificativa clínica e os metadados necessários para experimentos com acurácia, erro por especialidade e comparação entre modelos em tarefas objetivas.</w:t>
      </w:r>
    </w:p>
    <w:p>
      <w:pPr>
        <w:pStyle w:val="BodyText"/>
      </w:pPr>
      <w:r>
        <w:t xml:space="preserve">Como limitações do presente relatório, cabe registrar que:</w:t>
      </w:r>
    </w:p>
    <w:p>
      <w:pPr>
        <w:numPr>
          <w:ilvl w:val="0"/>
          <w:numId w:val="1010"/>
        </w:numPr>
      </w:pPr>
      <w:r>
        <w:t xml:space="preserve">não foram calculadas métricas automáticas como BLEU, ROUGE, BERTScore ou similaridade por embeddings neste recorte individual;</w:t>
      </w:r>
    </w:p>
    <w:p>
      <w:pPr>
        <w:numPr>
          <w:ilvl w:val="0"/>
          <w:numId w:val="1010"/>
        </w:numPr>
      </w:pPr>
      <w:r>
        <w:t xml:space="preserve">custos de tokens, latência e eventuais efeitos de quantização não foram medidos;</w:t>
      </w:r>
    </w:p>
    <w:p>
      <w:pPr>
        <w:numPr>
          <w:ilvl w:val="0"/>
          <w:numId w:val="1010"/>
        </w:numPr>
      </w:pPr>
      <w:r>
        <w:t xml:space="preserve">a análise está concentrada no lote individual do discente e, portanto, não representa todo o domínio médico da turma.</w:t>
      </w:r>
    </w:p>
    <w:p>
      <w:pPr>
        <w:pStyle w:val="FirstParagraph"/>
      </w:pPr>
      <w:r>
        <w:t xml:space="preserve">Essas limitações não invalidam o resultado; apenas delimitam seu escopo. O que este relatório oferece é um retrato fiel, auditável e reproduzível do que foi efetivamente executado.</w:t>
      </w:r>
    </w:p>
    <w:bookmarkEnd w:id="46"/>
    <w:bookmarkStart w:id="47" w:name="Xda13fd78a5d23d6c295becae63d15656c0d3dd9"/>
    <w:p>
      <w:pPr>
        <w:pStyle w:val="Heading1"/>
      </w:pPr>
      <w:r>
        <w:t xml:space="preserve">Estrutura recomendada para o repositório individual</w:t>
      </w:r>
    </w:p>
    <w:p>
      <w:pPr>
        <w:pStyle w:val="FirstParagraph"/>
      </w:pPr>
      <w:r>
        <w:t xml:space="preserve">Considerando os artefatos produzidos, a estrutura recomendada para o repositório individual é:</w:t>
      </w:r>
    </w:p>
    <w:p>
      <w:pPr>
        <w:pStyle w:val="SourceCode"/>
      </w:pPr>
      <w:r>
        <w:rPr>
          <w:rStyle w:val="VerbatimChar"/>
        </w:rPr>
        <w:t xml:space="preserve">Topicos_Avancados_2026-1_Gilson_Inacio_Medicina_Atividade1/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data/</w:t>
      </w:r>
      <w:r>
        <w:br/>
      </w:r>
      <w:r>
        <w:rPr>
          <w:rStyle w:val="VerbatimChar"/>
        </w:rPr>
        <w:t xml:space="preserve">|   |-- dataset.json</w:t>
      </w:r>
      <w:r>
        <w:br/>
      </w:r>
      <w:r>
        <w:rPr>
          <w:rStyle w:val="VerbatimChar"/>
        </w:rPr>
        <w:t xml:space="preserve">|   |-- questions_w_answers.jsonl</w:t>
      </w:r>
      <w:r>
        <w:br/>
      </w:r>
      <w:r>
        <w:rPr>
          <w:rStyle w:val="VerbatimChar"/>
        </w:rPr>
        <w:t xml:space="preserve">|   `-- usmle_questions.json</w:t>
      </w:r>
      <w:r>
        <w:br/>
      </w:r>
      <w:r>
        <w:rPr>
          <w:rStyle w:val="VerbatimChar"/>
        </w:rPr>
        <w:t xml:space="preserve">|-- scripts/</w:t>
      </w:r>
      <w:r>
        <w:br/>
      </w:r>
      <w:r>
        <w:rPr>
          <w:rStyle w:val="VerbatimChar"/>
        </w:rPr>
        <w:t xml:space="preserve">|   `-- processar.py</w:t>
      </w:r>
      <w:r>
        <w:br/>
      </w:r>
      <w:r>
        <w:rPr>
          <w:rStyle w:val="VerbatimChar"/>
        </w:rPr>
        <w:t xml:space="preserve">|-- outputs/</w:t>
      </w:r>
      <w:r>
        <w:br/>
      </w:r>
      <w:r>
        <w:rPr>
          <w:rStyle w:val="VerbatimChar"/>
        </w:rPr>
        <w:t xml:space="preserve">|   |-- curadoria_abertas.csv</w:t>
      </w:r>
      <w:r>
        <w:br/>
      </w:r>
      <w:r>
        <w:rPr>
          <w:rStyle w:val="VerbatimChar"/>
        </w:rPr>
        <w:t xml:space="preserve">|   |-- curadoria_mc.csv</w:t>
      </w:r>
      <w:r>
        <w:br/>
      </w:r>
      <w:r>
        <w:rPr>
          <w:rStyle w:val="VerbatimChar"/>
        </w:rPr>
        <w:t xml:space="preserve">|   |-- respostas_llms.csv</w:t>
      </w:r>
      <w:r>
        <w:br/>
      </w:r>
      <w:r>
        <w:rPr>
          <w:rStyle w:val="VerbatimChar"/>
        </w:rPr>
        <w:t xml:space="preserve">|   |-- avaliacao_llms.csv</w:t>
      </w:r>
      <w:r>
        <w:br/>
      </w:r>
      <w:r>
        <w:rPr>
          <w:rStyle w:val="VerbatimChar"/>
        </w:rPr>
        <w:t xml:space="preserve">|   `-- Workbook_Equipe2_Medicina_Atividade1_Gilson_Inacio_da_Silva.xlsx</w:t>
      </w:r>
      <w:r>
        <w:br/>
      </w:r>
      <w:r>
        <w:rPr>
          <w:rStyle w:val="VerbatimChar"/>
        </w:rPr>
        <w:t xml:space="preserve">`-- relatorio/</w:t>
      </w:r>
      <w:r>
        <w:br/>
      </w:r>
      <w:r>
        <w:rPr>
          <w:rStyle w:val="VerbatimChar"/>
        </w:rPr>
        <w:t xml:space="preserve">    |-- Relatorio_Individual_Gilson_Inacio_Atividade1.tex</w:t>
      </w:r>
      <w:r>
        <w:br/>
      </w:r>
      <w:r>
        <w:rPr>
          <w:rStyle w:val="VerbatimChar"/>
        </w:rPr>
        <w:t xml:space="preserve">    `-- Relatorio_Individual_Gilson_Inacio_Atividade1.pdf</w:t>
      </w:r>
    </w:p>
    <w:p>
      <w:pPr>
        <w:pStyle w:val="FirstParagraph"/>
      </w:pPr>
      <w:r>
        <w:t xml:space="preserve">Essa organização preserva separação entre dados brutos, script, saídas e documentação final.</w:t>
      </w:r>
    </w:p>
    <w:bookmarkEnd w:id="47"/>
    <w:bookmarkStart w:id="48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Este relatório documentou a execução individual da Atividade Avaliativa 1 no domínio médico para o lote composto pelas questões abertas 86–100 e pelas questões de múltipla escolha 136–162. O trabalho resultou em quatro entregáveis centrais: curadoria das abertas, curadoria das múltipla escolha, registro das respostas dos três LLMs e avaliação estruturada das respostas abertas contra o padrão-ouro especialista.</w:t>
      </w:r>
    </w:p>
    <w:p>
      <w:pPr>
        <w:pStyle w:val="BodyText"/>
      </w:pPr>
      <w:r>
        <w:t xml:space="preserve">No subconjunto de perguntas abertas, o GPT-5.4 Thinking apresentou a maior média geral (9.67/10), seguido por Claude 4.6 Sonnet e Gemini 3.0, ambos com 9.47/10. Apesar do bom desempenho geral dos três modelos, as diferenças encontradas foram pedagogicamente relevantes: algumas respostas perderam nota por excesso de generalidade, outras por reduzir em excesso a prudência clínica, e outras por se afastar do foco exato esperado pela resposta especialista.</w:t>
      </w:r>
    </w:p>
    <w:p>
      <w:pPr>
        <w:pStyle w:val="BodyText"/>
      </w:pPr>
      <w:r>
        <w:t xml:space="preserve">Do ponto de vista metodológico, o principal resultado deste trabalho foi mostrar que, para um lote médico pequeno e crítico, uma avaliação supervisionada por critérios clínicos foi mais defensável do que depender exclusivamente de métricas lexicais. Isso torna o material produzido mais útil tanto para prestação de contas acadêmica quanto para reaproveitamento posterior em experimentos maiores.</w:t>
      </w:r>
    </w:p>
    <w:bookmarkEnd w:id="48"/>
    <w:bookmarkStart w:id="49" w:name="declaração-de-autoria"/>
    <w:p>
      <w:pPr>
        <w:pStyle w:val="Heading1"/>
      </w:pPr>
      <w:r>
        <w:t xml:space="preserve">Declaração de autoria</w:t>
      </w:r>
    </w:p>
    <w:p>
      <w:pPr>
        <w:pStyle w:val="FirstParagraph"/>
      </w:pPr>
      <w:r>
        <w:t xml:space="preserve">Declaro que este relatório descreve a parte individual desenvolvida por mim no âmbito da Atividade Avaliativa 1, incluindo organização dos dados, curadoria, registro das respostas dos modelos, avaliação das questões abertas e consolidação dos arquivos finais.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UNIVERSIDADE FEDERAL DE SERGIPE.</w:t>
      </w:r>
      <w:r>
        <w:t xml:space="preserve"> </w:t>
      </w:r>
      <w:r>
        <w:rPr>
          <w:i/>
          <w:iCs/>
        </w:rPr>
        <w:t xml:space="preserve">Atividade – Tópicos Avançados: Atividade 1</w:t>
      </w:r>
      <w:r>
        <w:t xml:space="preserve">. Documento disponibilizado na disciplina. 2026.</w:t>
      </w:r>
    </w:p>
    <w:p>
      <w:pPr>
        <w:pStyle w:val="BodyText"/>
      </w:pPr>
      <w:r>
        <w:t xml:space="preserve">BENCHIMOL-ELKAIM, A. et al.</w:t>
      </w:r>
      <w:r>
        <w:t xml:space="preserve"> </w:t>
      </w:r>
      <w:r>
        <w:rPr>
          <w:i/>
          <w:iCs/>
        </w:rPr>
        <w:t xml:space="preserve">K-QA: A Real World Medical Q&amp;A Benchmark</w:t>
      </w:r>
      <w:r>
        <w:t xml:space="preserve">. BioNLP, 2024.</w:t>
      </w:r>
    </w:p>
    <w:p>
      <w:pPr>
        <w:pStyle w:val="BodyText"/>
      </w:pPr>
      <w:r>
        <w:rPr>
          <w:i/>
          <w:iCs/>
        </w:rPr>
        <w:t xml:space="preserve">Large Language Models in Medicine</w:t>
      </w:r>
      <w:r>
        <w:t xml:space="preserve">. Documento de apoio teórico utilizado na disciplina.</w:t>
      </w:r>
    </w:p>
    <w:p>
      <w:pPr>
        <w:pStyle w:val="BodyText"/>
      </w:pPr>
      <w:r>
        <w:t xml:space="preserve">UPTODATE. Base de apoio clínico utilizada nas referências por questão. Acesso conforme links registrados nas planilhas de curadoria e respostas.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2026-03-27T18:43:06Z</dcterms:created>
  <dcterms:modified xsi:type="dcterms:W3CDTF">2026-03-27T18:43:06Z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