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C98E5B"/>
          <w:sz w:val="56"/>
          <w:szCs w:val="56"/>
        </w:rPr>
        <w:t xml:space="preserve">Habitta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E9081"/>
          <w:sz w:val="22"/>
          <w:szCs w:val="22"/>
        </w:rPr>
        <w:t xml:space="preserve">Donde tu hogar, encuentra todo.</w:t>
      </w:r>
    </w:p>
    <w:p>
      <w:pPr>
        <w:pBdr>
          <w:bottom w:val="single" w:color="C98E5B" w:sz="6" w:space="4"/>
        </w:pBdr>
        <w:spacing w:after="80"/>
        <w:jc w:val="center"/>
      </w:pPr>
      <w:r>
        <w:rPr>
          <w:rFonts w:ascii="Calibri" w:cs="Calibri" w:eastAsia="Calibri" w:hAnsi="Calibri"/>
          <w:b/>
          <w:bCs/>
          <w:color w:val="4B3F35"/>
          <w:sz w:val="28"/>
          <w:szCs w:val="28"/>
        </w:rPr>
        <w:t xml:space="preserve">Trabajo Práctico 2 — Modelo de negocio y propuesta de valor</w:t>
      </w:r>
    </w:p>
    <w:p>
      <w:pPr>
        <w:spacing w:after="40" w:before="160"/>
        <w:jc w:val="center"/>
      </w:pPr>
      <w:r>
        <w:rPr>
          <w:rFonts w:ascii="Calibri" w:cs="Calibri" w:eastAsia="Calibri" w:hAnsi="Calibri"/>
          <w:color w:val="B5ADA1"/>
          <w:sz w:val="20"/>
          <w:szCs w:val="20"/>
        </w:rPr>
        <w:t xml:space="preserve">MADE UCEMA 2026 · Ideación y Gestión de Startups · Prof. Mg. Sergio O. Nardini</w:t>
      </w:r>
    </w:p>
    <w:p>
      <w:pPr>
        <w:spacing w:after="320"/>
        <w:jc w:val="center"/>
      </w:pPr>
      <w:r>
        <w:rPr>
          <w:rFonts w:ascii="Calibri" w:cs="Calibri" w:eastAsia="Calibri" w:hAnsi="Calibri"/>
          <w:color w:val="B5ADA1"/>
          <w:sz w:val="20"/>
          <w:szCs w:val="20"/>
        </w:rPr>
        <w:t xml:space="preserve">Alumno: </w:t>
      </w:r>
      <w:r>
        <w:rPr>
          <w:rFonts w:ascii="Calibri" w:cs="Calibri" w:eastAsia="Calibri" w:hAnsi="Calibri"/>
          <w:b/>
          <w:bCs/>
          <w:color w:val="4B3F35"/>
          <w:sz w:val="20"/>
          <w:szCs w:val="20"/>
        </w:rPr>
        <w:t xml:space="preserve">Fernando Isasti</w:t>
      </w:r>
      <w:r>
        <w:rPr>
          <w:rFonts w:ascii="Calibri" w:cs="Calibri" w:eastAsia="Calibri" w:hAnsi="Calibri"/>
          <w:color w:val="B5ADA1"/>
          <w:sz w:val="20"/>
          <w:szCs w:val="20"/>
        </w:rPr>
        <w:t xml:space="preserve">  ·  Modalidad: Individual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4B3F35"/>
          <w:sz w:val="32"/>
          <w:szCs w:val="32"/>
        </w:rPr>
        <w:t xml:space="preserve">1. Problema u oportunidad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El mercado del alquiler residencial en Argentina está fragmentado, opaco y burocrático. Hoy la operación real circula por canales informales mientras los sistemas oficiales acumulan fricción: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inquilino</w:t>
      </w:r>
      <w:r>
        <w:rPr>
          <w:rFonts w:ascii="Calibri" w:cs="Calibri" w:eastAsia="Calibri" w:hAnsi="Calibri"/>
          <w:sz w:val="22"/>
          <w:szCs w:val="22"/>
        </w:rPr>
        <w:t xml:space="preserve"> busca en MercadoLibre / ZonaProp, conversa por WhatsApp, firma contratos PDF, paga el alquiler por transferencia, contrata gasista por Facebook y resuelve conflictos llamando al propietario.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propietario</w:t>
      </w:r>
      <w:r>
        <w:rPr>
          <w:rFonts w:ascii="Calibri" w:cs="Calibri" w:eastAsia="Calibri" w:hAnsi="Calibri"/>
          <w:sz w:val="22"/>
          <w:szCs w:val="22"/>
        </w:rPr>
        <w:t xml:space="preserve"> gestiona un Excel con vencimientos, pierde el rastro de pagos, no tiene comprobantes legibles y depende del corredor inmobiliario para casi todo.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inmobiliaria chica/mediana</w:t>
      </w:r>
      <w:r>
        <w:rPr>
          <w:rFonts w:ascii="Calibri" w:cs="Calibri" w:eastAsia="Calibri" w:hAnsi="Calibri"/>
          <w:sz w:val="22"/>
          <w:szCs w:val="22"/>
        </w:rPr>
        <w:t xml:space="preserve"> trabaja con sistemas pesados (Tokko y similares) mientras la operación real se mueve por canales informales.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La Ley 27.551 + DNU 70/2023 cambiaron las reglas del juego varias veces en 4 años: nadie sabe bien qué cláusulas son válidas, el 12 % de los juicios civiles se originan en alquileres y el inquilino siente que no tiene herramientas para protegerse.</w:t>
      </w:r>
    </w:p>
    <w:p>
      <w:pPr>
        <w:spacing w:after="100"/>
        <w:rPr>
          <w:i/>
          <w:iCs/>
          <w:color w:val="8C6B4E"/>
        </w:rPr>
      </w:pPr>
      <w:r>
        <w:rPr>
          <w:rFonts w:ascii="Calibri" w:cs="Calibri" w:eastAsia="Calibri" w:hAnsi="Calibri"/>
          <w:i/>
          <w:iCs/>
          <w:color w:val="8C6B4E"/>
          <w:sz w:val="22"/>
          <w:szCs w:val="22"/>
        </w:rPr>
        <w:t xml:space="preserve">Oportunidad: consolidar en una sola plataforma todo el ciclo de alquiler (búsqueda → visita → contrato → pagos → mantenimiento → fin de contrato) con foco en transparencia y trazabilidad legal.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4B3F35"/>
          <w:sz w:val="32"/>
          <w:szCs w:val="32"/>
        </w:rPr>
        <w:t xml:space="preserve">2. Plantilla completa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4"/>
        <w:gridCol w:w="6822"/>
      </w:tblGrid>
      <w:tr>
        <w:tc>
          <w:tcPr>
            <w:tcW w:type="dxa" w:w="2924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shd w:fill="EDE6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3F35"/>
                <w:sz w:val="20"/>
                <w:szCs w:val="20"/>
              </w:rPr>
              <w:t xml:space="preserve">Proyecto / problema</w:t>
            </w:r>
          </w:p>
        </w:tc>
        <w:tc>
          <w:tcPr>
            <w:tcW w:type="dxa" w:w="6822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Habitta — plataforma all-in-one para el ciclo completo de alquiler residencial en Argentina (búsqueda, contrato, pagos, comprobantes, servicios del hogar, mediación, soporte).</w:t>
            </w:r>
          </w:p>
        </w:tc>
      </w:tr>
      <w:tr>
        <w:tc>
          <w:tcPr>
            <w:tcW w:type="dxa" w:w="2924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shd w:fill="EDE6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3F35"/>
                <w:sz w:val="20"/>
                <w:szCs w:val="20"/>
              </w:rPr>
              <w:t xml:space="preserve">Cliente objetivo</w:t>
            </w:r>
          </w:p>
        </w:tc>
        <w:tc>
          <w:tcPr>
            <w:tcW w:type="dxa" w:w="6822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Inquilinos urbanos 25-45 (CABA y GBA inicialmente) digitalizados + propietarios particulares con 1-3 inmuebles que no quieren depender 100 % de una inmobiliaria. Segmento secundario: inmobiliarias chicas/medianas (1-10 propiedades en gestión) y prestadores de servicios del hogar verificados.</w:t>
            </w:r>
          </w:p>
        </w:tc>
      </w:tr>
      <w:tr>
        <w:tc>
          <w:tcPr>
            <w:tcW w:type="dxa" w:w="2924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shd w:fill="EDE6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3F35"/>
                <w:sz w:val="20"/>
                <w:szCs w:val="20"/>
              </w:rPr>
              <w:t xml:space="preserve">Usuario / Comprador / Decisor / Pagador</w:t>
            </w:r>
          </w:p>
        </w:tc>
        <w:tc>
          <w:tcPr>
            <w:tcW w:type="dxa" w:w="6822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Inquilino: usuario + comprador + decisor + pagador. Propietario: usuario + comprador + decisor + pagador. Particular (5to tipo): alquila o es dueño por fuera de la app y paga sólo por servicios y comprobantes. En el segmento B2B, la inmobiliaria es el comprador y sus clientes son los usuarios.</w:t>
            </w:r>
          </w:p>
        </w:tc>
      </w:tr>
      <w:tr>
        <w:tc>
          <w:tcPr>
            <w:tcW w:type="dxa" w:w="2924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shd w:fill="EDE6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3F35"/>
                <w:sz w:val="20"/>
                <w:szCs w:val="20"/>
              </w:rPr>
              <w:t xml:space="preserve">Early adopter / primer fan</w:t>
            </w:r>
          </w:p>
        </w:tc>
        <w:tc>
          <w:tcPr>
            <w:tcW w:type="dxa" w:w="6822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Inquilino joven profesional que está por mudarse, ya usa Mercado Pago, WhatsApp Business y Tiendanube, valora "todo en un lugar" y no soporta más el Excel del propietario. Propietario "manija digital" con 1-2 deptos, gestiona él mismo, factura monotributo y quiere comprobantes legibles para ARCA / AFIP cuando deba.</w:t>
            </w:r>
          </w:p>
        </w:tc>
      </w:tr>
      <w:tr>
        <w:tc>
          <w:tcPr>
            <w:tcW w:type="dxa" w:w="2924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shd w:fill="EDE6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3F35"/>
                <w:sz w:val="20"/>
                <w:szCs w:val="20"/>
              </w:rPr>
              <w:t xml:space="preserve">Propuesta de valor v0</w:t>
            </w:r>
          </w:p>
        </w:tc>
        <w:tc>
          <w:tcPr>
            <w:tcW w:type="dxa" w:w="6822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Para inquilinos y propietarios que alquilan en Argentina y se manejan hoy con WhatsApp, Excel y contratos en PDF, Habitta ofrece una plataforma única donde firmar contratos digitales con co-firmantes, pagar y cobrar el alquiler con comprobantes automáticos verificables, contratar prestadores del hogar verificados y resolver conflictos con mediación asistida por IA, a diferencia de ZonaProp (sólo búsqueda), MercadoLibre Inmuebles (sólo publicación) o la inmobiliaria tradicional (cara, lenta, opaca), porque centraliza el ciclo completo, deja trazabilidad legal y baja el costo de la fricción operativa.</w:t>
            </w:r>
          </w:p>
        </w:tc>
      </w:tr>
      <w:tr>
        <w:tc>
          <w:tcPr>
            <w:tcW w:type="dxa" w:w="2924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shd w:fill="EDE6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3F35"/>
                <w:sz w:val="20"/>
                <w:szCs w:val="20"/>
              </w:rPr>
              <w:t xml:space="preserve">Canal inicial</w:t>
            </w:r>
          </w:p>
        </w:tc>
        <w:tc>
          <w:tcPr>
            <w:tcW w:type="dxa" w:w="6822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(1) Comunidades de alquileres en Reddit (r/argentina, r/CABA), grupos de Facebook de "inquilinos CABA" y Twitter — testimonios + landing simple. (2) Alianza con inmobiliarias chicas que necesitan digitalizarse pero no tienen IT — modelo white-label. (3) Boca a boca cruzado — cada contrato firmado en Habitta invita al otro lado del contrato (firmás como inquilino → tu propietario entra a la plataforma sí o sí).</w:t>
            </w:r>
          </w:p>
        </w:tc>
      </w:tr>
      <w:tr>
        <w:tc>
          <w:tcPr>
            <w:tcW w:type="dxa" w:w="2924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shd w:fill="EDE6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3F35"/>
                <w:sz w:val="20"/>
                <w:szCs w:val="20"/>
              </w:rPr>
              <w:t xml:space="preserve">Hipótesis de monetización</w:t>
            </w:r>
          </w:p>
        </w:tc>
        <w:tc>
          <w:tcPr>
            <w:tcW w:type="dxa" w:w="6822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(a) Comisión transaccional 1.5 – 2 % sobre el alquiler procesado (lo paga el lado que cobra). (b) Suscripción Premium $4.000 – $8.000 / mes con funciones extendidas (mediación con IA prioritaria, multi-propiedad, plantillas avanzadas). (c) Comisión 12 – 18 % sobre servicios del hogar contratados a prestadores verificados (revenue share clásico de marketplace). (d) Fee de canal sobre seguros de caución vendidos dentro de la plataforma. Frecuencia: comisión mensual recurrente, servicios on-demand, suscripción mensual.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4B3F35"/>
          <w:sz w:val="32"/>
          <w:szCs w:val="32"/>
        </w:rPr>
        <w:t xml:space="preserve">3. Dos modelos de negocio posibles para la misma idea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C98E5B"/>
          <w:sz w:val="26"/>
          <w:szCs w:val="26"/>
        </w:rPr>
        <w:t xml:space="preserve">Modelo A — "Marketplace de transacciones" (comisión por uso)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shd w:fill="4B3F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487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shd w:fill="4B3F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487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Quién usa</w:t>
            </w:r>
          </w:p>
        </w:tc>
        <w:tc>
          <w:tcPr>
            <w:tcW w:type="dxa" w:w="487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Inquilino, propietario, prestador</w:t>
            </w:r>
          </w:p>
        </w:tc>
      </w:tr>
      <w:tr>
        <w:tc>
          <w:tcPr>
            <w:tcW w:type="dxa" w:w="487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Quién paga</w:t>
            </w:r>
          </w:p>
        </w:tc>
        <w:tc>
          <w:tcPr>
            <w:tcW w:type="dxa" w:w="487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El lado que cobra una transacción (propietario sobre el alquiler, prestador sobre el servicio)</w:t>
            </w:r>
          </w:p>
        </w:tc>
      </w:tr>
      <w:tr>
        <w:tc>
          <w:tcPr>
            <w:tcW w:type="dxa" w:w="487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Cómo se cobra</w:t>
            </w:r>
          </w:p>
        </w:tc>
        <w:tc>
          <w:tcPr>
            <w:tcW w:type="dxa" w:w="487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Comisión 1.5 – 2 % sobre alquileres procesados + 12-18 % sobre servicios del hogar</w:t>
            </w:r>
          </w:p>
        </w:tc>
      </w:tr>
      <w:tr>
        <w:tc>
          <w:tcPr>
            <w:tcW w:type="dxa" w:w="487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Frecuencia</w:t>
            </w:r>
          </w:p>
        </w:tc>
        <w:tc>
          <w:tcPr>
            <w:tcW w:type="dxa" w:w="487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Recurrente mensual (alquiler) + on-demand (servicios)</w:t>
            </w:r>
          </w:p>
        </w:tc>
      </w:tr>
      <w:tr>
        <w:tc>
          <w:tcPr>
            <w:tcW w:type="dxa" w:w="487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Velocidad para validar</w:t>
            </w:r>
          </w:p>
        </w:tc>
        <w:tc>
          <w:tcPr>
            <w:tcW w:type="dxa" w:w="487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Rápida — con 5 contratos activos y 20 servicios contratados ya hay señal real</w:t>
            </w:r>
          </w:p>
        </w:tc>
      </w:tr>
      <w:tr>
        <w:tc>
          <w:tcPr>
            <w:tcW w:type="dxa" w:w="487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Ventajas</w:t>
            </w:r>
          </w:p>
        </w:tc>
        <w:tc>
          <w:tcPr>
            <w:tcW w:type="dxa" w:w="487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Bajo friction (gratis usar), incentivos alineados con el éxito del usuario, escalable</w:t>
            </w:r>
          </w:p>
        </w:tc>
      </w:tr>
      <w:tr>
        <w:tc>
          <w:tcPr>
            <w:tcW w:type="dxa" w:w="487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Riesgos</w:t>
            </w:r>
          </w:p>
        </w:tc>
        <w:tc>
          <w:tcPr>
            <w:tcW w:type="dxa" w:w="487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Necesita volumen para ser rentable, depende del procesador de pagos (MP), márgenes finos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C98E5B"/>
          <w:sz w:val="26"/>
          <w:szCs w:val="26"/>
        </w:rPr>
        <w:t xml:space="preserve">Modelo B — "SaaS B2B inmobiliarias" (suscripción por agencia)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shd w:fill="4B3F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487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shd w:fill="4B3F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487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Quién usa</w:t>
            </w:r>
          </w:p>
        </w:tc>
        <w:tc>
          <w:tcPr>
            <w:tcW w:type="dxa" w:w="487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Empleados de inmobiliaria + sus clientes (inquilinos / propietarios)</w:t>
            </w:r>
          </w:p>
        </w:tc>
      </w:tr>
      <w:tr>
        <w:tc>
          <w:tcPr>
            <w:tcW w:type="dxa" w:w="487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Quién paga</w:t>
            </w:r>
          </w:p>
        </w:tc>
        <w:tc>
          <w:tcPr>
            <w:tcW w:type="dxa" w:w="487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La agencia inmobiliaria</w:t>
            </w:r>
          </w:p>
        </w:tc>
      </w:tr>
      <w:tr>
        <w:tc>
          <w:tcPr>
            <w:tcW w:type="dxa" w:w="487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Cómo se cobra</w:t>
            </w:r>
          </w:p>
        </w:tc>
        <w:tc>
          <w:tcPr>
            <w:tcW w:type="dxa" w:w="487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Suscripción mensual USD 50 – 150 por agencia + cargo por propiedad bajo gestión</w:t>
            </w:r>
          </w:p>
        </w:tc>
      </w:tr>
      <w:tr>
        <w:tc>
          <w:tcPr>
            <w:tcW w:type="dxa" w:w="487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Frecuencia</w:t>
            </w:r>
          </w:p>
        </w:tc>
        <w:tc>
          <w:tcPr>
            <w:tcW w:type="dxa" w:w="487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Suscripción mensual recurrente con contratos anuales</w:t>
            </w:r>
          </w:p>
        </w:tc>
      </w:tr>
      <w:tr>
        <w:tc>
          <w:tcPr>
            <w:tcW w:type="dxa" w:w="487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Velocidad para validar</w:t>
            </w:r>
          </w:p>
        </w:tc>
        <w:tc>
          <w:tcPr>
            <w:tcW w:type="dxa" w:w="487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Lenta — ciclo de venta B2B de 4-8 semanas, demo, onboarding</w:t>
            </w:r>
          </w:p>
        </w:tc>
      </w:tr>
      <w:tr>
        <w:tc>
          <w:tcPr>
            <w:tcW w:type="dxa" w:w="487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Ventajas</w:t>
            </w:r>
          </w:p>
        </w:tc>
        <w:tc>
          <w:tcPr>
            <w:tcW w:type="dxa" w:w="487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Ingreso predecible alto, ticket grande, contratos anuales, expansion por # de propiedades</w:t>
            </w:r>
          </w:p>
        </w:tc>
      </w:tr>
      <w:tr>
        <w:tc>
          <w:tcPr>
            <w:tcW w:type="dxa" w:w="487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Riesgos</w:t>
            </w:r>
          </w:p>
        </w:tc>
        <w:tc>
          <w:tcPr>
            <w:tcW w:type="dxa" w:w="487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Ciclo de venta largo, competencia con Tokko, churn alto si no la adoptan, requiere equipo comercial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4B3F35"/>
          <w:sz w:val="32"/>
          <w:szCs w:val="32"/>
        </w:rPr>
        <w:t xml:space="preserve">4. Modelo elegido para empezar y justificación</w:t>
      </w:r>
    </w:p>
    <w:p>
      <w:pPr>
        <w:spacing w:after="10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Arranco con el Modelo A (marketplace de transacciones) con una capa SaaS Premium opcional ($4.000 – $8.000 / mes) para usuarios power, que sirve como puente hacia el B2B más adelante.</w:t>
      </w:r>
    </w:p>
    <w:p>
      <w:pPr>
        <w:spacing w:after="100"/>
        <w:rPr>
          <w:b/>
          <w:bCs/>
          <w:color w:val="C98E5B"/>
        </w:rPr>
      </w:pPr>
      <w:r>
        <w:rPr>
          <w:rFonts w:ascii="Calibri" w:cs="Calibri" w:eastAsia="Calibri" w:hAnsi="Calibri"/>
          <w:b/>
          <w:bCs/>
          <w:color w:val="C98E5B"/>
          <w:sz w:val="22"/>
          <w:szCs w:val="22"/>
        </w:rPr>
        <w:t xml:space="preserve">Por qué este orden: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Aprendo más rápido</w:t>
      </w:r>
      <w:r>
        <w:rPr>
          <w:rFonts w:ascii="Calibri" w:cs="Calibri" w:eastAsia="Calibri" w:hAnsi="Calibri"/>
          <w:sz w:val="22"/>
          <w:szCs w:val="22"/>
        </w:rPr>
        <w:t xml:space="preserve"> — con 10 contratos firmados y 50 servicios contratados ya tengo señales claras de qué funciona, sin esperar 6 meses para cerrar un contrato anual con una agencia.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Reduzco la barrera de entrada</w:t>
      </w:r>
      <w:r>
        <w:rPr>
          <w:rFonts w:ascii="Calibri" w:cs="Calibri" w:eastAsia="Calibri" w:hAnsi="Calibri"/>
          <w:sz w:val="22"/>
          <w:szCs w:val="22"/>
        </w:rPr>
        <w:t xml:space="preserve"> — el inquilino/propietario no paga nada para empezar (sólo si transacciona), así que el costo psicológico es mínimo.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Genera viralidad endógena</w:t>
      </w:r>
      <w:r>
        <w:rPr>
          <w:rFonts w:ascii="Calibri" w:cs="Calibri" w:eastAsia="Calibri" w:hAnsi="Calibri"/>
          <w:sz w:val="22"/>
          <w:szCs w:val="22"/>
        </w:rPr>
        <w:t xml:space="preserve"> — cada vez que un inquilino firma en Habitta, el propietario también entra. El crecimiento es cruzado y no depende sólo de marketing.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 SaaS B2B viene después como expansión natural</w:t>
      </w:r>
      <w:r>
        <w:rPr>
          <w:rFonts w:ascii="Calibri" w:cs="Calibri" w:eastAsia="Calibri" w:hAnsi="Calibri"/>
          <w:sz w:val="22"/>
          <w:szCs w:val="22"/>
        </w:rPr>
        <w:t xml:space="preserve"> — cuando demuestre que 200 inmuebles activos funcionan, las inmobiliarias chicas van a querer la plataforma white-label y ahí cobramos suscripción.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Coincide con el momento del usuario</w:t>
      </w:r>
      <w:r>
        <w:rPr>
          <w:rFonts w:ascii="Calibri" w:cs="Calibri" w:eastAsia="Calibri" w:hAnsi="Calibri"/>
          <w:sz w:val="22"/>
          <w:szCs w:val="22"/>
        </w:rPr>
        <w:t xml:space="preserve"> — el dolor agudo aparece cuando se firma un contrato, cuando hay que pagar el alquiler o cuando se rompe algo. Cobrar en ese momento es defendible; cobrar suscripción mensual a alguien que firma cada 24 meses es muy pesado para empezar.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4B3F35"/>
          <w:sz w:val="32"/>
          <w:szCs w:val="32"/>
        </w:rPr>
        <w:t xml:space="preserve">5. Tres hipótesis críticas a validar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9"/>
        <w:gridCol w:w="4093"/>
        <w:gridCol w:w="4094"/>
      </w:tblGrid>
      <w:tr>
        <w:trPr>
          <w:tblHeader/>
        </w:trPr>
        <w:tc>
          <w:tcPr>
            <w:tcW w:type="dxa" w:w="1559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shd w:fill="4B3F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9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shd w:fill="4B3F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Hipótesis</w:t>
            </w:r>
          </w:p>
        </w:tc>
        <w:tc>
          <w:tcPr>
            <w:tcW w:type="dxa" w:w="4094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shd w:fill="4B3F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testear</w:t>
            </w:r>
          </w:p>
        </w:tc>
      </w:tr>
      <w:tr>
        <w:tc>
          <w:tcPr>
            <w:tcW w:type="dxa" w:w="1559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shd w:fill="E2C9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3F35"/>
                <w:sz w:val="20"/>
                <w:szCs w:val="20"/>
              </w:rPr>
              <w:t xml:space="preserve">Cliente</w:t>
            </w:r>
          </w:p>
        </w:tc>
        <w:tc>
          <w:tcPr>
            <w:tcW w:type="dxa" w:w="409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Los inquilinos jóvenes urbanos (25-45) sienten suficiente dolor con el método actual (Excel + WhatsApp + transferencia) como para registrarse y probar una plataforma nueva sin que se la recomienden directamente.</w:t>
            </w:r>
          </w:p>
        </w:tc>
        <w:tc>
          <w:tcPr>
            <w:tcW w:type="dxa" w:w="4094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Landing con form de waitlist + 30 entrevistas cualitativas en 4 semanas. Objetivo: ≥ 40 % conversión visita→waitlist y ≥ 7/10 en "¿qué tan frustrado estás con cómo manejás tu alquiler hoy?".</w:t>
            </w:r>
          </w:p>
        </w:tc>
      </w:tr>
      <w:tr>
        <w:tc>
          <w:tcPr>
            <w:tcW w:type="dxa" w:w="1559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shd w:fill="E2C9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3F35"/>
                <w:sz w:val="20"/>
                <w:szCs w:val="20"/>
              </w:rPr>
              <w:t xml:space="preserve">Valor</w:t>
            </w:r>
          </w:p>
        </w:tc>
        <w:tc>
          <w:tcPr>
            <w:tcW w:type="dxa" w:w="409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Una vez registrados, los usuarios cargan su contrato + 1 mes de pagos en los primeros 7 días. Si no, la plataforma es vista como "un Excel más lindo" y no aporta valor real.</w:t>
            </w:r>
          </w:p>
        </w:tc>
        <w:tc>
          <w:tcPr>
            <w:tcW w:type="dxa" w:w="4094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MVP con 50 usuarios beta. Métricas: ≥ 60 % completa onboarding + ≥ 40 % registra ≥ 1 pago en la 1ra semana + NPS ≥ 30.</w:t>
            </w:r>
          </w:p>
        </w:tc>
      </w:tr>
      <w:tr>
        <w:tc>
          <w:tcPr>
            <w:tcW w:type="dxa" w:w="1559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shd w:fill="E2C9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3F35"/>
                <w:sz w:val="20"/>
                <w:szCs w:val="20"/>
              </w:rPr>
              <w:t xml:space="preserve">Monetización</w:t>
            </w:r>
          </w:p>
        </w:tc>
        <w:tc>
          <w:tcPr>
            <w:tcW w:type="dxa" w:w="4093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Los usuarios aceptan pagar 1.5 % de comisión sobre el alquiler procesado por las garantías extra (contrato digital + comprobante automático + custodia neutral del depósito). Si exigen que sea gratis, todo el modelo se cae.</w:t>
            </w:r>
          </w:p>
        </w:tc>
        <w:tc>
          <w:tcPr>
            <w:tcW w:type="dxa" w:w="4094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Test A/B con 2 cohortes: una recibe procesamiento gratis, la otra con 1.5 %. Métrica: ≥ 70 % de la cohorte que paga acepta sin abandonar después del 2do mes. Alternativa: precio anclado en "¿pagarías $X por seguro + comprobante + custodia?" en entrevistas.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4B3F35"/>
          <w:sz w:val="32"/>
          <w:szCs w:val="32"/>
        </w:rPr>
        <w:t xml:space="preserve">6. Uso de 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4"/>
        <w:gridCol w:w="6822"/>
      </w:tblGrid>
      <w:tr>
        <w:tc>
          <w:tcPr>
            <w:tcW w:type="dxa" w:w="2924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shd w:fill="EDE6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3F35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6822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Claude (Anthropic) en modo agente sobre el repositorio completo del proyecto. Usado tanto para construir código como para estructurar decisiones estratégicas y redactar este documento.</w:t>
            </w:r>
          </w:p>
        </w:tc>
      </w:tr>
      <w:tr>
        <w:tc>
          <w:tcPr>
            <w:tcW w:type="dxa" w:w="2924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shd w:fill="EDE6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3F35"/>
                <w:sz w:val="20"/>
                <w:szCs w:val="20"/>
              </w:rPr>
              <w:t xml:space="preserve">Para qué se usó</w:t>
            </w:r>
          </w:p>
        </w:tc>
        <w:tc>
          <w:tcPr>
            <w:tcW w:type="dxa" w:w="6822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(a) Construcción del MVP funcional: arquitectura, schema Prisma, módulos NestJS, frontend Next 15 con paleta y branding propios, sistema de tickets de soporte, recibos con verificación pública sha256, contratos con co-firmantes, visitas con calendario, marketplace de servicios, custodia de depósitos. (b) Discusión estratégica: me ayudó a descartar la idea de "hacer nuestro propio procesador de pagos" mostrándome el costo regulatorio real (PCI-DSS Level 1, regulación BCRA / PSPCP, capital de trabajo para float) antes de gastar plata y meses, y a elegir Mercado Pago Marketplace + Split. (c) Redacción de este documento.</w:t>
            </w:r>
          </w:p>
        </w:tc>
      </w:tr>
      <w:tr>
        <w:tc>
          <w:tcPr>
            <w:tcW w:type="dxa" w:w="2924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shd w:fill="EDE6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3F35"/>
                <w:sz w:val="20"/>
                <w:szCs w:val="20"/>
              </w:rPr>
              <w:t xml:space="preserve">Decisiones que tomé yo, no la IA</w:t>
            </w:r>
          </w:p>
        </w:tc>
        <w:tc>
          <w:tcPr>
            <w:tcW w:type="dxa" w:w="6822"/>
            <w:tcBorders>
              <w:top w:val="single" w:color="B5ADA1" w:sz="6"/>
              <w:left w:val="single" w:color="B5ADA1" w:sz="6"/>
              <w:bottom w:val="single" w:color="B5ADA1" w:sz="6"/>
              <w:right w:val="single" w:color="B5ADA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3F35"/>
                <w:sz w:val="20"/>
                <w:szCs w:val="20"/>
              </w:rPr>
              <w:t xml:space="preserve">(1) Nombre, branding y paleta (Habitta + colores tierra) — los elegí yo a partir de un moodboard, la IA solo armó el código del logo. (2) Alcance del MVP — Argentina primero, foco en CABA / GBA, cumplimiento Ley 27.551 — por análisis de mercado propio. (3) Decisión de no ser PSP propio — la IA me explicó costos y opciones, la decisión final fue mía. (4) Los dos modelos comparados acá son míos a partir de discusión con la IA; la elección final entre A y B la tomé considerando velocidad de aprendizaje y runway personal. (5) Las hipótesis críticas — la IA propuso 10, yo elegí estas 3 porque son las que más riesgo concentran.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4B3F35"/>
          <w:sz w:val="32"/>
          <w:szCs w:val="32"/>
        </w:rPr>
        <w:t xml:space="preserve">Anexo · Estado actual del MVP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Para validar las hipótesis no parto de cero: ya hay un MVP funcional desplegado y testeable. Stack: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</w:t>
      </w:r>
      <w:r>
        <w:rPr>
          <w:rFonts w:ascii="Calibri" w:cs="Calibri" w:eastAsia="Calibri" w:hAnsi="Calibri"/>
          <w:sz w:val="22"/>
          <w:szCs w:val="22"/>
        </w:rPr>
        <w:t xml:space="preserve">: Next.js 15 (App Router) + React 19 + Tailwind con paleta Habitta propia · 3 idiomas (ES/EN/PT)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</w:t>
      </w:r>
      <w:r>
        <w:rPr>
          <w:rFonts w:ascii="Calibri" w:cs="Calibri" w:eastAsia="Calibri" w:hAnsi="Calibri"/>
          <w:sz w:val="22"/>
          <w:szCs w:val="22"/>
        </w:rPr>
        <w:t xml:space="preserve">: NestJS 10 + Prisma 6 + PostgreSQL en Neon (prod) · 30+ módulos · 220+ endpoints 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Pagos</w:t>
      </w:r>
      <w:r>
        <w:rPr>
          <w:rFonts w:ascii="Calibri" w:cs="Calibri" w:eastAsia="Calibri" w:hAnsi="Calibri"/>
          <w:sz w:val="22"/>
          <w:szCs w:val="22"/>
        </w:rPr>
        <w:t xml:space="preserve">: Mercado Pago real integrado (preferencias + webhook + split listo para activar)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Deploy</w:t>
      </w:r>
      <w:r>
        <w:rPr>
          <w:rFonts w:ascii="Calibri" w:cs="Calibri" w:eastAsia="Calibri" w:hAnsi="Calibri"/>
          <w:sz w:val="22"/>
          <w:szCs w:val="22"/>
        </w:rPr>
        <w:t xml:space="preserve">: Render con CI/CD desde GitHub · cada push redespliega automáticamente</w:t>
      </w:r>
    </w:p>
    <w:p>
      <w:pPr>
        <w:spacing w:after="100"/>
        <w:rPr>
          <w:b/>
          <w:bCs/>
          <w:color w:val="C98E5B"/>
        </w:rPr>
      </w:pPr>
      <w:r>
        <w:rPr>
          <w:rFonts w:ascii="Calibri" w:cs="Calibri" w:eastAsia="Calibri" w:hAnsi="Calibri"/>
          <w:b/>
          <w:bCs/>
          <w:color w:val="C98E5B"/>
          <w:sz w:val="22"/>
          <w:szCs w:val="22"/>
        </w:rPr>
        <w:t xml:space="preserve">Funcionalidad ya construida y funcionando end-to-end: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Registro multi-rol (Inquilino, Propietario, Inmobiliaria, Prestador, Particular) con verificación de identidad (KYC) explicada en lenguaje no técnico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Búsqueda y publicación de inmuebles con ~38 amenities agrupadas en 4 categorías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Visitas a propiedades con calendario, contraoferta de fecha (max 6 rondas) y vista de calendario mensual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Solicitud de alquiler con contraoferta de monto / duración / fecha de inicio (negociación con rondas)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Contratos digitales con plantillas Ley 27.551 + co-firmantes invitables por email + gate de datos del usuario para firmar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Pagos por Mercado Pago real + comprobantes NO fiscales con hash sha256 y página pública de verificación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Presupuesto mensual del Particular con división de gastos (alquiler / expensas / servicios) con freeze y débito automático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Marketplace de 30+ rubros de servicios del hogar verificados, con categoría "Otro" para los que no encajan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Custodia neutral de depósitos de garantía con admin de inversiones (banco, plazo, TNA)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Sistema de tickets de soporte categorizados (8 temas con sub-temas) usuario ↔ admin con hilo tipo 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Mediación de conflictos asistida por IA basada en jurisprudencia argentina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Cierre de cuenta (soft-delete) que preserva la información histórica (cumple obligaciones legales y contables)</w:t>
      </w:r>
    </w:p>
    <w:p>
      <w:pPr>
        <w:spacing w:after="100"/>
        <w:rPr>
          <w:i/>
          <w:iCs/>
        </w:rPr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Esto permite empezar a testear las 3 hipótesis críticas directamente con usuarios reales, sin tener que pagar para validar primero con maquetas.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4B3F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C98E5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 — Modelo de negocio y propuesta de valor — Habitta</dc:title>
  <dc:creator>Fernando Isasti</dc:creator>
  <dc:description>UCEMA MADE 2026 · Ideación y Gestión de Startups</dc:description>
  <cp:lastModifiedBy>Un-named</cp:lastModifiedBy>
  <cp:revision>1</cp:revision>
  <dcterms:created xsi:type="dcterms:W3CDTF">2026-05-27T17:30:32.990Z</dcterms:created>
  <dcterms:modified xsi:type="dcterms:W3CDTF">2026-05-27T17:30:33.002Z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