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real-vla-chapter-1-evidence-map-v0.1"/>
    <w:p>
      <w:pPr>
        <w:pStyle w:val="Heading1"/>
      </w:pPr>
      <w:r>
        <w:t xml:space="preserve">Real VLA: Chapter 1 Evidence Map v0.1</w:t>
      </w:r>
    </w:p>
    <w:p>
      <w:pPr>
        <w:pStyle w:val="FirstParagraph"/>
      </w:pPr>
      <w:r>
        <w:rPr>
          <w:b/>
          <w:bCs/>
        </w:rPr>
        <w:t xml:space="preserve">Chapter:</w:t>
      </w:r>
      <w:r>
        <w:t xml:space="preserve"> </w:t>
      </w:r>
      <w:r>
        <w:t xml:space="preserve">Chapter 1.</w:t>
      </w:r>
      <w:r>
        <w:t xml:space="preserve"> </w:t>
      </w:r>
      <w:r>
        <w:rPr>
          <w:i/>
          <w:iCs/>
        </w:rPr>
        <w:t xml:space="preserve">What Is a Real VLA System?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본문 원고 작성 전, Chapter 1에서 주장할 핵심 claim과 그 claim을 뒷받침할 textbook, 논문, 시스템 사례, 반례, figure/table 재료를 정리하는 논증 설계도.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Evidence map only. 본문 원고 아님. 단순 bibliography 아님.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2026-05-12 KST</w:t>
      </w:r>
      <w:r>
        <w:br/>
      </w:r>
      <w:r>
        <w:rPr>
          <w:b/>
          <w:bCs/>
        </w:rPr>
        <w:t xml:space="preserve">Working inputs:</w:t>
      </w:r>
      <w:r>
        <w:t xml:space="preserve"> </w:t>
      </w:r>
      <w:r>
        <w:t xml:space="preserve">Book Bible v0.1, Wave 1 Chapter Contracts v0.1, Interface Specification + Global Glossary v0.1.</w:t>
      </w:r>
    </w:p>
    <w:p>
      <w:r>
        <w:pict>
          <v:rect style="width:0;height:1.5pt" o:hralign="center" o:hrstd="t" o:hr="t"/>
        </w:pict>
      </w:r>
    </w:p>
    <w:bookmarkStart w:id="20" w:name="chapter-1-one-sentence-thesis"/>
    <w:p>
      <w:pPr>
        <w:pStyle w:val="Heading2"/>
      </w:pPr>
      <w:r>
        <w:t xml:space="preserve">0. Chapter 1 One-Sentence Thesis</w:t>
      </w:r>
    </w:p>
    <w:p>
      <w:pPr>
        <w:pStyle w:val="FirstParagraph"/>
      </w:pPr>
      <w:r>
        <w:rPr>
          <w:b/>
          <w:bCs/>
        </w:rPr>
        <w:t xml:space="preserve">A real VLA system is not a larger VLM that directly replaces robotics; it is a layered embodied interface that connects task semantics, multimodal perception, robot state, action representation, control, data, evaluation, and safety into one executable physical system.</w:t>
      </w:r>
    </w:p>
    <w:p>
      <w:pPr>
        <w:pStyle w:val="BodyText"/>
      </w:pPr>
      <w:r>
        <w:t xml:space="preserve">한국어 집필용 핵심 문장:</w:t>
      </w:r>
    </w:p>
    <w:p>
      <w:pPr>
        <w:pStyle w:val="BlockText"/>
      </w:pPr>
      <w:r>
        <w:rPr>
          <w:b/>
          <w:bCs/>
        </w:rPr>
        <w:t xml:space="preserve">Real VLA는 로봇 제어를 대체하는 하나의 거대 모델이 아니라, 언어와 시각으로 표현된 task semantics를 실제 로봇의 제약 있는 action generation으로 연결하는 embodied system interface이다.</w:t>
      </w:r>
    </w:p>
    <w:p>
      <w:pPr>
        <w:pStyle w:val="FirstParagraph"/>
      </w:pPr>
      <w:r>
        <w:t xml:space="preserve">이 thesis는 Chapter 1의 모든 claim을 묶는 중심축이다. 이후 Chapter 13은 이 thesis 중 action/control boundary를 자세히 풀고, Chapter 14는 data engine을, Chapter 16은 evaluation protocol을, Chapter 19는 safety and assurance stack을 확장한다.</w:t>
      </w:r>
    </w:p>
    <w:p>
      <w:r>
        <w:pict>
          <v:rect style="width:0;height:1.5pt" o:hralign="center" o:hrstd="t" o:hr="t"/>
        </w:pict>
      </w:r>
    </w:p>
    <w:bookmarkEnd w:id="20"/>
    <w:bookmarkStart w:id="21" w:name="proposed-chapter-1-section-skeleton"/>
    <w:p>
      <w:pPr>
        <w:pStyle w:val="Heading2"/>
      </w:pPr>
      <w:r>
        <w:t xml:space="preserve">1. Proposed Chapter 1 Section Skeleton</w:t>
      </w:r>
    </w:p>
    <w:p>
      <w:pPr>
        <w:pStyle w:val="FirstParagraph"/>
      </w:pPr>
      <w:r>
        <w:t xml:space="preserve">Chapter 1 Evidence Map은 아래 section 구조를 전제로 한다. 상세 outline은 다음 단계에서 다시 만든다.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 Why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Real VLA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Just a Bigger VLM</w:t>
      </w:r>
      <w:r>
        <w:br/>
      </w:r>
      <w:r>
        <w:t xml:space="preserve">VLA hype를 정리하고, model이 아니라 system/interface 관점이 필요한 이유를 제시한다.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1.2 The Real VLA Stack</w:t>
      </w:r>
      <w:r>
        <w:br/>
      </w:r>
      <w:r>
        <w:t xml:space="preserve">Embodied reasoning, VLA policy, motion/control, safety/assurance, data/evaluation layer를 정의한다.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1.3 What the Robot Sees, Knows, and Commands</w:t>
      </w:r>
      <w:r>
        <w:br/>
      </w:r>
      <w:r>
        <w:t xml:space="preserve">observation, state, proprioception, memory, action representation, control boundary를 구분한다.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1.4 Historical Ingredients: Control, Planning, Learning, VLM/LLM</w:t>
      </w:r>
      <w:r>
        <w:br/>
      </w:r>
      <w:r>
        <w:t xml:space="preserve">고전 제어/계획/모션플래닝/로봇러닝/VLM-LLM이 VLA stack 안에서 맡는 역할을 연결한다.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1.5 Modern System Patterns: VLA, ER + VLA, Humanoid VLA</w:t>
      </w:r>
      <w:r>
        <w:br/>
      </w:r>
      <w:r>
        <w:t xml:space="preserve">RT-1/RT-2/OpenVLA/pi0 계열과 Gemini Robotics-ER, GR00T, Helix류를 system pattern으로 배치한다.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1.6 What Can Go Wrong: Data, Evaluation, Safety</w:t>
      </w:r>
      <w:r>
        <w:br/>
      </w:r>
      <w:r>
        <w:t xml:space="preserve">benchmark overfitting, embodied reasoning illusion, unsafe command, latency, embodiment gap을 소개한다.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1.7 What This Chapter Locks for the Rest of the Book</w:t>
      </w:r>
      <w:r>
        <w:br/>
      </w:r>
      <w:r>
        <w:t xml:space="preserve">Ch13/Ch14/Ch16/Ch19로 넘길 개념을 정리한다.</w:t>
      </w:r>
    </w:p>
    <w:p>
      <w:r>
        <w:pict>
          <v:rect style="width:0;height:1.5pt" o:hralign="center" o:hrstd="t" o:hr="t"/>
        </w:pict>
      </w:r>
    </w:p>
    <w:bookmarkEnd w:id="21"/>
    <w:bookmarkStart w:id="22" w:name="citation-tier-policy-for-chapter-1"/>
    <w:p>
      <w:pPr>
        <w:pStyle w:val="Heading2"/>
      </w:pPr>
      <w:r>
        <w:t xml:space="preserve">2. Citation Tier Policy for Chapter 1</w:t>
      </w:r>
    </w:p>
    <w:p>
      <w:pPr>
        <w:pStyle w:val="FirstParagraph"/>
      </w:pPr>
      <w:r>
        <w:t xml:space="preserve">Chapter 1은 독자의 첫 인상을 결정하므로, 출처의 신뢰도를 명확히 나눠야 한다.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in Chapter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/ established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정의, 기본 수식, 오랜 기간 검증된 제어/계획/학습 개념의 근거로 사용한다.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Peer-reviewed or widely cited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역사적 전환점, 검증된 연구 흐름, VLA의 핵심 개념을 뒷받침하는 주된 근거로 사용한다.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/ preprint / project page / open-source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방향성, emerging architecture, evaluation/safety frontier를 설명하되 과장하지 않는다.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technical report / official docs / product page / official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시스템 case study로만 사용한다. 일반 법칙처럼 쓰지 않는다.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Chapter 1 citation rule:</w:t>
      </w:r>
      <w:r>
        <w:t xml:space="preserve"> </w:t>
      </w:r>
      <w:r>
        <w:t xml:space="preserve">Tier D source는</w:t>
      </w:r>
      <w:r>
        <w:t xml:space="preserve"> </w:t>
      </w:r>
      <w:r>
        <w:t xml:space="preserve">“</w:t>
      </w:r>
      <w:r>
        <w:t xml:space="preserve">대표 사례</w:t>
      </w:r>
      <w:r>
        <w:t xml:space="preserve">”</w:t>
      </w:r>
      <w:r>
        <w:t xml:space="preserve">로만 쓴다.</w:t>
      </w:r>
      <w:r>
        <w:t xml:space="preserve"> </w:t>
      </w:r>
      <w:r>
        <w:t xml:space="preserve">“</w:t>
      </w:r>
      <w:r>
        <w:t xml:space="preserve">증명된 일반 원리</w:t>
      </w:r>
      <w:r>
        <w:t xml:space="preserve">”</w:t>
      </w:r>
      <w:r>
        <w:t xml:space="preserve">처럼 쓰지 않는다. 최신 회사 시스템은 Ch1에서 독자에게 landscape를 보여주는 역할만 하고, 자세한 기술 판단은 Ch17/Ch18/Ch20으로 넘긴다.</w:t>
      </w:r>
    </w:p>
    <w:p>
      <w:r>
        <w:pict>
          <v:rect style="width:0;height:1.5pt" o:hralign="center" o:hrstd="t" o:hr="t"/>
        </w:pict>
      </w:r>
    </w:p>
    <w:bookmarkEnd w:id="22"/>
    <w:bookmarkStart w:id="45" w:name="source-registry-for-chapter-1"/>
    <w:p>
      <w:pPr>
        <w:pStyle w:val="Heading2"/>
      </w:pPr>
      <w:r>
        <w:t xml:space="preserve">3. Source Registry for Chapter 1</w:t>
      </w:r>
    </w:p>
    <w:p>
      <w:pPr>
        <w:pStyle w:val="FirstParagraph"/>
      </w:pPr>
      <w:r>
        <w:t xml:space="preserve">아래 registry는 Chapter 1에서 자주 호출할 source ID다. Evidence Map에서는 source ID로 참조한다. 자세한 citation format은 최종 원고 단계에서 정리한다.</w:t>
      </w:r>
    </w:p>
    <w:bookmarkStart w:id="23" w:name="Xbfdb148c497e28e58d4627a1da27540cb88a6c0"/>
    <w:p>
      <w:pPr>
        <w:pStyle w:val="Heading3"/>
      </w:pPr>
      <w:r>
        <w:t xml:space="preserve">Tier A. Textbooks and Established Foundations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A1.</w:t>
      </w:r>
      <w:r>
        <w:t xml:space="preserve"> </w:t>
      </w:r>
      <w:r>
        <w:t xml:space="preserve">Murray, Li, and Sastry,</w:t>
      </w:r>
      <w:r>
        <w:t xml:space="preserve"> </w:t>
      </w:r>
      <w:r>
        <w:rPr>
          <w:i/>
          <w:iCs/>
        </w:rPr>
        <w:t xml:space="preserve">A Mathematical Introduction to Robotic Manipulation</w:t>
      </w:r>
      <w:r>
        <w:t xml:space="preserve"> </w:t>
      </w:r>
      <w:r>
        <w:t xml:space="preserve">- kinematics, dynamics, manipulation, control의 기본 언어.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A2.</w:t>
      </w:r>
      <w:r>
        <w:t xml:space="preserve"> </w:t>
      </w:r>
      <w:r>
        <w:t xml:space="preserve">Lynch and Park,</w:t>
      </w:r>
      <w:r>
        <w:t xml:space="preserve"> </w:t>
      </w:r>
      <w:r>
        <w:rPr>
          <w:i/>
          <w:iCs/>
        </w:rPr>
        <w:t xml:space="preserve">Modern Robotics</w:t>
      </w:r>
      <w:r>
        <w:t xml:space="preserve"> </w:t>
      </w:r>
      <w:r>
        <w:t xml:space="preserve">- configuration space, screw theory, motion planning, control의 현대적 정리.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A3.</w:t>
      </w:r>
      <w:r>
        <w:t xml:space="preserve"> </w:t>
      </w:r>
      <w:r>
        <w:t xml:space="preserve">Siciliano, Sciavicco, Villani, and Oriolo,</w:t>
      </w:r>
      <w:r>
        <w:t xml:space="preserve"> </w:t>
      </w:r>
      <w:r>
        <w:rPr>
          <w:i/>
          <w:iCs/>
        </w:rPr>
        <w:t xml:space="preserve">Robotics: Modelling, Planning and Control</w:t>
      </w:r>
      <w:r>
        <w:t xml:space="preserve"> </w:t>
      </w:r>
      <w:r>
        <w:t xml:space="preserve">- 로봇 모델링/계획/제어 통합 교재.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A4.</w:t>
      </w:r>
      <w:r>
        <w:t xml:space="preserve"> </w:t>
      </w:r>
      <w:r>
        <w:t xml:space="preserve">Siciliano and Khatib,</w:t>
      </w:r>
      <w:r>
        <w:t xml:space="preserve"> </w:t>
      </w:r>
      <w:r>
        <w:rPr>
          <w:i/>
          <w:iCs/>
        </w:rPr>
        <w:t xml:space="preserve">Springer Handbook of Robotics</w:t>
      </w:r>
      <w:r>
        <w:t xml:space="preserve"> </w:t>
      </w:r>
      <w:r>
        <w:t xml:space="preserve">- manipulation, planning, safety, HRI, robot learning을 포괄하는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A5.</w:t>
      </w:r>
      <w:r>
        <w:t xml:space="preserve"> </w:t>
      </w:r>
      <w:r>
        <w:t xml:space="preserve">LaValle,</w:t>
      </w:r>
      <w:r>
        <w:t xml:space="preserve"> </w:t>
      </w:r>
      <w:r>
        <w:rPr>
          <w:i/>
          <w:iCs/>
        </w:rPr>
        <w:t xml:space="preserve">Planning Algorithms</w:t>
      </w:r>
      <w:r>
        <w:t xml:space="preserve"> </w:t>
      </w:r>
      <w:r>
        <w:t xml:space="preserve">- search, motion planning, sampling-based planning, kinodynamic planning의 기초.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A6.</w:t>
      </w:r>
      <w:r>
        <w:t xml:space="preserve"> </w:t>
      </w:r>
      <w:r>
        <w:t xml:space="preserve">Ghallab, Nau, and Traverso,</w:t>
      </w:r>
      <w:r>
        <w:t xml:space="preserve"> </w:t>
      </w:r>
      <w:r>
        <w:rPr>
          <w:i/>
          <w:iCs/>
        </w:rPr>
        <w:t xml:space="preserve">Automated Planning</w:t>
      </w:r>
      <w:r>
        <w:t xml:space="preserve"> </w:t>
      </w:r>
      <w:r>
        <w:t xml:space="preserve">- symbolic planning, action model, goal decomposition의 기초.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A7.</w:t>
      </w:r>
      <w:r>
        <w:t xml:space="preserve"> </w:t>
      </w:r>
      <w:r>
        <w:t xml:space="preserve">Sutton and Barto,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- policy, value, MDP, exploration, temporal decision making의 기본 언어.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A8.</w:t>
      </w:r>
      <w:r>
        <w:t xml:space="preserve"> </w:t>
      </w:r>
      <w:r>
        <w:t xml:space="preserve">Levine,</w:t>
      </w:r>
      <w:r>
        <w:t xml:space="preserve"> </w:t>
      </w:r>
      <w:r>
        <w:rPr>
          <w:i/>
          <w:iCs/>
        </w:rPr>
        <w:t xml:space="preserve">Reinforcement Learning and Control as Probabilistic Inference</w:t>
      </w:r>
      <w:r>
        <w:t xml:space="preserve"> </w:t>
      </w:r>
      <w:r>
        <w:t xml:space="preserve">- control as inference 관점.</w:t>
      </w:r>
    </w:p>
    <w:bookmarkEnd w:id="23"/>
    <w:bookmarkStart w:id="24" w:name="Xaa7bab4e7063874130ae11f760d5c3532dfe3f0"/>
    <w:p>
      <w:pPr>
        <w:pStyle w:val="Heading3"/>
      </w:pPr>
      <w:r>
        <w:t xml:space="preserve">Tier B. Core Papers and Widely Used Research Anchors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B1.</w:t>
      </w:r>
      <w:r>
        <w:t xml:space="preserve"> </w:t>
      </w:r>
      <w:r>
        <w:t xml:space="preserve">Kalman,</w:t>
      </w:r>
      <w:r>
        <w:t xml:space="preserve"> </w:t>
      </w:r>
      <w:r>
        <w:t xml:space="preserve">“</w:t>
      </w:r>
      <w:r>
        <w:t xml:space="preserve">A New Approach to Linear Filtering and Prediction Problems</w:t>
      </w:r>
      <w:r>
        <w:t xml:space="preserve">”</w:t>
      </w:r>
      <w:r>
        <w:t xml:space="preserve"> </w:t>
      </w:r>
      <w:r>
        <w:t xml:space="preserve">- observation과 state의 차이.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B2.</w:t>
      </w:r>
      <w:r>
        <w:t xml:space="preserve"> </w:t>
      </w:r>
      <w:r>
        <w:t xml:space="preserve">Bellman,</w:t>
      </w:r>
      <w:r>
        <w:t xml:space="preserve"> </w:t>
      </w:r>
      <w:r>
        <w:rPr>
          <w:i/>
          <w:iCs/>
        </w:rPr>
        <w:t xml:space="preserve">Dynamic Programming</w:t>
      </w:r>
      <w:r>
        <w:t xml:space="preserve"> </w:t>
      </w:r>
      <w:r>
        <w:t xml:space="preserve">- optimal control, dynamic programming, MDP/RL의 원류.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B3.</w:t>
      </w:r>
      <w:r>
        <w:t xml:space="preserve"> </w:t>
      </w:r>
      <w:r>
        <w:t xml:space="preserve">Mayne et al.,</w:t>
      </w:r>
      <w:r>
        <w:t xml:space="preserve"> </w:t>
      </w:r>
      <w:r>
        <w:t xml:space="preserve">“</w:t>
      </w:r>
      <w:r>
        <w:t xml:space="preserve">Constrained Model Predictive Control</w:t>
      </w:r>
      <w:r>
        <w:t xml:space="preserve">”</w:t>
      </w:r>
      <w:r>
        <w:t xml:space="preserve"> </w:t>
      </w:r>
      <w:r>
        <w:t xml:space="preserve">- receding-horizon control과 constraint handling.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B4.</w:t>
      </w:r>
      <w:r>
        <w:t xml:space="preserve"> </w:t>
      </w:r>
      <w:r>
        <w:t xml:space="preserve">Raibert and Craig,</w:t>
      </w:r>
      <w:r>
        <w:t xml:space="preserve"> </w:t>
      </w:r>
      <w:r>
        <w:t xml:space="preserve">“</w:t>
      </w:r>
      <w:r>
        <w:t xml:space="preserve">Hybrid Position/Force Control</w:t>
      </w:r>
      <w:r>
        <w:t xml:space="preserve">”</w:t>
      </w:r>
      <w:r>
        <w:t xml:space="preserve"> </w:t>
      </w:r>
      <w:r>
        <w:t xml:space="preserve">- contact task에서 position/force 분리.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B5.</w:t>
      </w:r>
      <w:r>
        <w:t xml:space="preserve"> </w:t>
      </w:r>
      <w:r>
        <w:t xml:space="preserve">Hogan,</w:t>
      </w:r>
      <w:r>
        <w:t xml:space="preserve"> </w:t>
      </w:r>
      <w:r>
        <w:t xml:space="preserve">“</w:t>
      </w:r>
      <w:r>
        <w:t xml:space="preserve">Impedance Control</w:t>
      </w:r>
      <w:r>
        <w:t xml:space="preserve">”</w:t>
      </w:r>
      <w:r>
        <w:t xml:space="preserve"> </w:t>
      </w:r>
      <w:r>
        <w:t xml:space="preserve">- safe physical interaction의 핵심 개념.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B6.</w:t>
      </w:r>
      <w:r>
        <w:t xml:space="preserve"> </w:t>
      </w:r>
      <w:r>
        <w:t xml:space="preserve">Khatib,</w:t>
      </w:r>
      <w:r>
        <w:t xml:space="preserve"> </w:t>
      </w:r>
      <w:r>
        <w:t xml:space="preserve">“</w:t>
      </w:r>
      <w:r>
        <w:t xml:space="preserve">Operational Space Control</w:t>
      </w:r>
      <w:r>
        <w:t xml:space="preserve">”</w:t>
      </w:r>
      <w:r>
        <w:t xml:space="preserve"> </w:t>
      </w:r>
      <w:r>
        <w:t xml:space="preserve">- task-space control and end-effector interface.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B7.</w:t>
      </w:r>
      <w:r>
        <w:t xml:space="preserve"> </w:t>
      </w:r>
      <w:r>
        <w:t xml:space="preserve">Hart, Nilsson, and Raphael, “A*” - heuristic 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B8.</w:t>
      </w:r>
      <w:r>
        <w:t xml:space="preserve"> </w:t>
      </w:r>
      <w:r>
        <w:t xml:space="preserve">Fikes and Nilsson,</w:t>
      </w:r>
      <w:r>
        <w:t xml:space="preserve"> </w:t>
      </w:r>
      <w:r>
        <w:t xml:space="preserve">“</w:t>
      </w:r>
      <w:r>
        <w:t xml:space="preserve">STRIPS</w:t>
      </w:r>
      <w:r>
        <w:t xml:space="preserve">”</w:t>
      </w:r>
      <w:r>
        <w:t xml:space="preserve"> </w:t>
      </w:r>
      <w:r>
        <w:t xml:space="preserve">- symbolic action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B9.</w:t>
      </w:r>
      <w:r>
        <w:t xml:space="preserve"> </w:t>
      </w:r>
      <w:r>
        <w:t xml:space="preserve">McDermott et al.,</w:t>
      </w:r>
      <w:r>
        <w:t xml:space="preserve"> </w:t>
      </w:r>
      <w:r>
        <w:t xml:space="preserve">“</w:t>
      </w:r>
      <w:r>
        <w:t xml:space="preserve">PDDL</w:t>
      </w:r>
      <w:r>
        <w:t xml:space="preserve">”</w:t>
      </w:r>
      <w:r>
        <w:t xml:space="preserve"> </w:t>
      </w:r>
      <w:r>
        <w:t xml:space="preserve">- planning domain description.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B10.</w:t>
      </w:r>
      <w:r>
        <w:t xml:space="preserve"> </w:t>
      </w:r>
      <w:r>
        <w:t xml:space="preserve">Garrett et al.,</w:t>
      </w:r>
      <w:r>
        <w:t xml:space="preserve"> </w:t>
      </w:r>
      <w:r>
        <w:t xml:space="preserve">“</w:t>
      </w:r>
      <w:r>
        <w:t xml:space="preserve">PDDLStream</w:t>
      </w:r>
      <w:r>
        <w:t xml:space="preserve">”</w:t>
      </w:r>
      <w:r>
        <w:t xml:space="preserve"> </w:t>
      </w:r>
      <w:r>
        <w:t xml:space="preserve">- task and motion planning bridge.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B11.</w:t>
      </w:r>
      <w:r>
        <w:t xml:space="preserve"> </w:t>
      </w:r>
      <w:r>
        <w:t xml:space="preserve">Ross et al.,</w:t>
      </w:r>
      <w:r>
        <w:t xml:space="preserve"> </w:t>
      </w:r>
      <w:r>
        <w:t xml:space="preserve">“</w:t>
      </w:r>
      <w:r>
        <w:t xml:space="preserve">DAgger</w:t>
      </w:r>
      <w:r>
        <w:t xml:space="preserve">”</w:t>
      </w:r>
      <w:r>
        <w:t xml:space="preserve"> </w:t>
      </w:r>
      <w:r>
        <w:t xml:space="preserve">- imitation learning의 covariate shift.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B12.</w:t>
      </w:r>
      <w:r>
        <w:t xml:space="preserve"> </w:t>
      </w:r>
      <w:r>
        <w:t xml:space="preserve">Levine et al.,</w:t>
      </w:r>
      <w:r>
        <w:t xml:space="preserve"> </w:t>
      </w:r>
      <w:r>
        <w:t xml:space="preserve">“</w:t>
      </w:r>
      <w:r>
        <w:t xml:space="preserve">End-to-End Training of Deep Visuomotor Policies</w:t>
      </w:r>
      <w:r>
        <w:t xml:space="preserve">”</w:t>
      </w:r>
      <w:r>
        <w:t xml:space="preserve"> </w:t>
      </w:r>
      <w:r>
        <w:t xml:space="preserve">- image-to-action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B13.</w:t>
      </w:r>
      <w:r>
        <w:t xml:space="preserve"> </w:t>
      </w:r>
      <w:r>
        <w:t xml:space="preserve">Kalashnikov et al.,</w:t>
      </w:r>
      <w:r>
        <w:t xml:space="preserve"> </w:t>
      </w:r>
      <w:r>
        <w:t xml:space="preserve">“</w:t>
      </w:r>
      <w:r>
        <w:t xml:space="preserve">QT-Opt</w:t>
      </w:r>
      <w:r>
        <w:t xml:space="preserve">”</w:t>
      </w:r>
      <w:r>
        <w:t xml:space="preserve"> </w:t>
      </w:r>
      <w:r>
        <w:t xml:space="preserve">- large-scale robotic grasping and self-supervised RL.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B14.</w:t>
      </w:r>
      <w:r>
        <w:t xml:space="preserve"> </w:t>
      </w:r>
      <w:r>
        <w:t xml:space="preserve">Chi et al.,</w:t>
      </w:r>
      <w:r>
        <w:t xml:space="preserve"> </w:t>
      </w:r>
      <w:r>
        <w:t xml:space="preserve">“</w:t>
      </w:r>
      <w:r>
        <w:t xml:space="preserve">Diffusion Policy</w:t>
      </w:r>
      <w:r>
        <w:t xml:space="preserve">”</w:t>
      </w:r>
      <w:r>
        <w:t xml:space="preserve"> </w:t>
      </w:r>
      <w:r>
        <w:t xml:space="preserve">- multimodal continuous action distribution.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B15.</w:t>
      </w:r>
      <w:r>
        <w:t xml:space="preserve"> </w:t>
      </w:r>
      <w:r>
        <w:t xml:space="preserve">Vaswani et al.,</w:t>
      </w:r>
      <w:r>
        <w:t xml:space="preserve"> </w:t>
      </w:r>
      <w:r>
        <w:t xml:space="preserve">“</w:t>
      </w:r>
      <w:r>
        <w:t xml:space="preserve">Attention Is All You Need</w:t>
      </w:r>
      <w:r>
        <w:t xml:space="preserve">”</w:t>
      </w:r>
      <w:r>
        <w:t xml:space="preserve"> </w:t>
      </w:r>
      <w:r>
        <w:t xml:space="preserve">- transformer sequence modeling.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B16.</w:t>
      </w:r>
      <w:r>
        <w:t xml:space="preserve"> </w:t>
      </w:r>
      <w:r>
        <w:t xml:space="preserve">Radford et al.,</w:t>
      </w:r>
      <w:r>
        <w:t xml:space="preserve"> </w:t>
      </w:r>
      <w:r>
        <w:t xml:space="preserve">“</w:t>
      </w:r>
      <w:r>
        <w:t xml:space="preserve">CLIP</w:t>
      </w:r>
      <w:r>
        <w:t xml:space="preserve">”</w:t>
      </w:r>
      <w:r>
        <w:t xml:space="preserve"> </w:t>
      </w:r>
      <w:r>
        <w:t xml:space="preserve">- language-grounded visual representation.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B17.</w:t>
      </w:r>
      <w:r>
        <w:t xml:space="preserve"> </w:t>
      </w:r>
      <w:r>
        <w:t xml:space="preserve">Alayrac et al.,</w:t>
      </w:r>
      <w:r>
        <w:t xml:space="preserve"> </w:t>
      </w:r>
      <w:r>
        <w:t xml:space="preserve">“</w:t>
      </w:r>
      <w:r>
        <w:t xml:space="preserve">Flamingo</w:t>
      </w:r>
      <w:r>
        <w:t xml:space="preserve">”</w:t>
      </w:r>
      <w:r>
        <w:t xml:space="preserve"> </w:t>
      </w:r>
      <w:r>
        <w:t xml:space="preserve">- interleaved image/video/text VLM.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B18.</w:t>
      </w:r>
      <w:r>
        <w:t xml:space="preserve"> </w:t>
      </w:r>
      <w:r>
        <w:t xml:space="preserve">Ahn et al.,</w:t>
      </w:r>
      <w:r>
        <w:t xml:space="preserve"> </w:t>
      </w:r>
      <w:r>
        <w:t xml:space="preserve">“</w:t>
      </w:r>
      <w:r>
        <w:t xml:space="preserve">Do As I Can, Not As I Say / SayCan</w:t>
      </w:r>
      <w:r>
        <w:t xml:space="preserve">”</w:t>
      </w:r>
      <w:r>
        <w:t xml:space="preserve"> </w:t>
      </w:r>
      <w:r>
        <w:t xml:space="preserve">- LLM + robot affordance grounding.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B19.</w:t>
      </w:r>
      <w:r>
        <w:t xml:space="preserve"> </w:t>
      </w:r>
      <w:r>
        <w:t xml:space="preserve">Liang et al.,</w:t>
      </w:r>
      <w:r>
        <w:t xml:space="preserve"> </w:t>
      </w:r>
      <w:r>
        <w:t xml:space="preserve">“</w:t>
      </w:r>
      <w:r>
        <w:t xml:space="preserve">Code as Policies</w:t>
      </w:r>
      <w:r>
        <w:t xml:space="preserve">”</w:t>
      </w:r>
      <w:r>
        <w:t xml:space="preserve"> </w:t>
      </w:r>
      <w:r>
        <w:t xml:space="preserve">- LLM-generated robot policies and controller API 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B20.</w:t>
      </w:r>
      <w:r>
        <w:t xml:space="preserve"> </w:t>
      </w:r>
      <w:r>
        <w:t xml:space="preserve">Driess et al.,</w:t>
      </w:r>
      <w:r>
        <w:t xml:space="preserve"> </w:t>
      </w:r>
      <w:r>
        <w:t xml:space="preserve">“</w:t>
      </w:r>
      <w:r>
        <w:t xml:space="preserve">PaLM-E</w:t>
      </w:r>
      <w:r>
        <w:t xml:space="preserve">”</w:t>
      </w:r>
      <w:r>
        <w:t xml:space="preserve"> </w:t>
      </w:r>
      <w:r>
        <w:t xml:space="preserve">- embodied multimodal language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B21.</w:t>
      </w:r>
      <w:r>
        <w:t xml:space="preserve"> </w:t>
      </w:r>
      <w:r>
        <w:t xml:space="preserve">Brohan et al.,</w:t>
      </w:r>
      <w:r>
        <w:t xml:space="preserve"> </w:t>
      </w:r>
      <w:r>
        <w:t xml:space="preserve">“</w:t>
      </w:r>
      <w:r>
        <w:t xml:space="preserve">RT-1</w:t>
      </w:r>
      <w:r>
        <w:t xml:space="preserve">”</w:t>
      </w:r>
      <w:r>
        <w:t xml:space="preserve"> </w:t>
      </w:r>
      <w:r>
        <w:t xml:space="preserve">- Robotics Transformer and scalable robot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B22.</w:t>
      </w:r>
      <w:r>
        <w:t xml:space="preserve"> </w:t>
      </w:r>
      <w:r>
        <w:t xml:space="preserve">Zitkovich/Brohan et al.,</w:t>
      </w:r>
      <w:r>
        <w:t xml:space="preserve"> </w:t>
      </w:r>
      <w:r>
        <w:t xml:space="preserve">“</w:t>
      </w:r>
      <w:r>
        <w:t xml:space="preserve">RT-2</w:t>
      </w:r>
      <w:r>
        <w:t xml:space="preserve">”</w:t>
      </w:r>
      <w:r>
        <w:t xml:space="preserve"> </w:t>
      </w:r>
      <w:r>
        <w:t xml:space="preserve">- VLA term and action-as-token recipe.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B23.</w:t>
      </w:r>
      <w:r>
        <w:t xml:space="preserve"> </w:t>
      </w:r>
      <w:r>
        <w:t xml:space="preserve">Open X-Embodiment Collaboration,</w:t>
      </w:r>
      <w:r>
        <w:t xml:space="preserve"> </w:t>
      </w:r>
      <w:r>
        <w:t xml:space="preserve">“</w:t>
      </w:r>
      <w:r>
        <w:t xml:space="preserve">Open X-Embodiment / RT-X</w:t>
      </w:r>
      <w:r>
        <w:t xml:space="preserve">”</w:t>
      </w:r>
      <w:r>
        <w:t xml:space="preserve"> </w:t>
      </w:r>
      <w:r>
        <w:t xml:space="preserve">- cross-embodiment dataset/model.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B24.</w:t>
      </w:r>
      <w:r>
        <w:t xml:space="preserve"> </w:t>
      </w:r>
      <w:r>
        <w:t xml:space="preserve">Kim et al.,</w:t>
      </w:r>
      <w:r>
        <w:t xml:space="preserve"> </w:t>
      </w:r>
      <w:r>
        <w:t xml:space="preserve">“</w:t>
      </w:r>
      <w:r>
        <w:t xml:space="preserve">OpenVLA</w:t>
      </w:r>
      <w:r>
        <w:t xml:space="preserve">”</w:t>
      </w:r>
      <w:r>
        <w:t xml:space="preserve"> </w:t>
      </w:r>
      <w:r>
        <w:t xml:space="preserve">- open-source 7B VLA trained on 970k robot demonstrations.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B25.</w:t>
      </w:r>
      <w:r>
        <w:t xml:space="preserve"> </w:t>
      </w:r>
      <w:r>
        <w:t xml:space="preserve">Octo Model Team,</w:t>
      </w:r>
      <w:r>
        <w:t xml:space="preserve"> </w:t>
      </w:r>
      <w:r>
        <w:t xml:space="preserve">“</w:t>
      </w:r>
      <w:r>
        <w:t xml:space="preserve">Octo</w:t>
      </w:r>
      <w:r>
        <w:t xml:space="preserve">”</w:t>
      </w:r>
      <w:r>
        <w:t xml:space="preserve"> </w:t>
      </w:r>
      <w:r>
        <w:t xml:space="preserve">- open-source generalist robot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B26.</w:t>
      </w:r>
      <w:r>
        <w:t xml:space="preserve"> </w:t>
      </w:r>
      <w:r>
        <w:t xml:space="preserve">DROID Team,</w:t>
      </w:r>
      <w:r>
        <w:t xml:space="preserve"> </w:t>
      </w:r>
      <w:r>
        <w:t xml:space="preserve">“</w:t>
      </w:r>
      <w:r>
        <w:t xml:space="preserve">DROID</w:t>
      </w:r>
      <w:r>
        <w:t xml:space="preserve">”</w:t>
      </w:r>
      <w:r>
        <w:t xml:space="preserve"> </w:t>
      </w:r>
      <w:r>
        <w:t xml:space="preserve">- in-the-wild robot manipulation dataset.</w:t>
      </w:r>
    </w:p>
    <w:bookmarkEnd w:id="24"/>
    <w:bookmarkStart w:id="36" w:name="Xd0d8109e1e17b0d6372a540fe8a76a2764736eb"/>
    <w:p>
      <w:pPr>
        <w:pStyle w:val="Heading3"/>
      </w:pPr>
      <w:r>
        <w:t xml:space="preserve">Tier C. Recent / Emerging Research and Open-Source Stacks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Black et al.,</w:t>
      </w:r>
      <w:r>
        <w:t xml:space="preserve"> </w:t>
      </w:r>
      <w:hyperlink r:id="rId25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pi0: A Vision-Language-Action Flow Model for General Robot Control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flow matching + VLM backbone for continuous 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C2.</w:t>
      </w:r>
      <w:r>
        <w:t xml:space="preserve"> </w:t>
      </w:r>
      <w:r>
        <w:t xml:space="preserve">Physical Intelligence,</w:t>
      </w:r>
      <w:r>
        <w:t xml:space="preserve"> </w:t>
      </w:r>
      <w:hyperlink r:id="rId26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pi0.5: a Vision-Language-Action Model with Open-World Generalization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heterogeneous data, semantic prediction, real-home generalization claims.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C3.</w:t>
      </w:r>
      <w:r>
        <w:t xml:space="preserve"> </w:t>
      </w:r>
      <w:r>
        <w:t xml:space="preserve">Pertsch et al.,</w:t>
      </w:r>
      <w:r>
        <w:t xml:space="preserve"> </w:t>
      </w:r>
      <w:hyperlink r:id="rId27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FAST: Efficient Action Tokenization for Vision-Language-Action Models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action tokenization via compression.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OpenVLA-OFT,</w:t>
      </w:r>
      <w:r>
        <w:t xml:space="preserve"> </w:t>
      </w:r>
      <w:hyperlink r:id="rId28">
        <w:r>
          <w:rPr>
            <w:rStyle w:val="Hyperlink"/>
          </w:rPr>
          <w:t xml:space="preserve">project page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- optimized fine-tuning, continuous action, speed/success tradeoff.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C5.</w:t>
      </w:r>
      <w:r>
        <w:t xml:space="preserve"> </w:t>
      </w:r>
      <w:r>
        <w:t xml:space="preserve">Mercat et al.,</w:t>
      </w:r>
      <w:r>
        <w:t xml:space="preserve"> </w:t>
      </w:r>
      <w:hyperlink r:id="rId30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VLA Foundry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unified LLM/VLM/VLA training stack.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C6.</w:t>
      </w:r>
      <w:r>
        <w:t xml:space="preserve"> </w:t>
      </w:r>
      <w:r>
        <w:t xml:space="preserve">Choi et al.,</w:t>
      </w:r>
      <w:r>
        <w:t xml:space="preserve"> </w:t>
      </w:r>
      <w:hyperlink r:id="rId31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vla-eval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unified evaluation harness and reproducibility audit.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C7.</w:t>
      </w:r>
      <w:r>
        <w:t xml:space="preserve"> </w:t>
      </w:r>
      <w:r>
        <w:t xml:space="preserve">Xu et al.,</w:t>
      </w:r>
      <w:r>
        <w:t xml:space="preserve"> </w:t>
      </w:r>
      <w:hyperlink r:id="rId32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BeTTER / Unmasking the Illusion of Embodied Reasoning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stress tests for embodied reasoning under causal interventions.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C8.</w:t>
      </w:r>
      <w:r>
        <w:t xml:space="preserve"> </w:t>
      </w:r>
      <w:r>
        <w:t xml:space="preserve">ASIMOV Benchmark v2,</w:t>
      </w:r>
      <w:r>
        <w:t xml:space="preserve"> </w:t>
      </w:r>
      <w:hyperlink r:id="rId33">
        <w:r>
          <w:rPr>
            <w:rStyle w:val="Hyperlink"/>
          </w:rPr>
          <w:t xml:space="preserve">project page</w:t>
        </w:r>
      </w:hyperlink>
      <w:r>
        <w:t xml:space="preserve"> </w:t>
      </w:r>
      <w:r>
        <w:t xml:space="preserve">- continuous physical safety benchmarking for embodied AI.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C9.</w:t>
      </w:r>
      <w:r>
        <w:t xml:space="preserve"> </w:t>
      </w:r>
      <w:hyperlink r:id="rId34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Vision-Language-Action Safety: Threats, Challenges and Future Directions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- structured VLA safety 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C10.</w:t>
      </w:r>
      <w:r>
        <w:t xml:space="preserve"> </w:t>
      </w:r>
      <w:r>
        <w:t xml:space="preserve">Physical Intelligence,</w:t>
      </w:r>
      <w:r>
        <w:t xml:space="preserve"> </w:t>
      </w:r>
      <w:hyperlink r:id="rId35">
        <w:r>
          <w:rPr>
            <w:rStyle w:val="Hyperlink"/>
          </w:rPr>
          <w:t xml:space="preserve">openpi GitHub</w:t>
        </w:r>
      </w:hyperlink>
      <w:r>
        <w:t xml:space="preserve"> </w:t>
      </w:r>
      <w:r>
        <w:t xml:space="preserve">- pi0 / pi0-FAST / pi0.5 open implementation context.</w:t>
      </w:r>
    </w:p>
    <w:bookmarkEnd w:id="36"/>
    <w:bookmarkStart w:id="44" w:name="X1e0481385316ca6cab3cbc4d12d95d75cfe4efc"/>
    <w:p>
      <w:pPr>
        <w:pStyle w:val="Heading3"/>
      </w:pPr>
      <w:r>
        <w:t xml:space="preserve">Tier D. Official Company / Product / Technical Case Studies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D1.</w:t>
      </w:r>
      <w:r>
        <w:t xml:space="preserve"> </w:t>
      </w:r>
      <w:r>
        <w:t xml:space="preserve">Google AI,</w:t>
      </w:r>
      <w:r>
        <w:t xml:space="preserve"> </w:t>
      </w:r>
      <w:hyperlink r:id="rId37">
        <w:r>
          <w:rPr>
            <w:rStyle w:val="Hyperlink"/>
          </w:rPr>
          <w:t xml:space="preserve">Gemini Robotics-ER 1.6 Preview docs</w:t>
        </w:r>
      </w:hyperlink>
      <w:r>
        <w:t xml:space="preserve"> </w:t>
      </w:r>
      <w:r>
        <w:t xml:space="preserve">- ER model as VLM for spatial reasoning, task planning, action planning from natural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D2.</w:t>
      </w:r>
      <w:r>
        <w:t xml:space="preserve"> </w:t>
      </w:r>
      <w:r>
        <w:t xml:space="preserve">Google DeepMind,</w:t>
      </w:r>
      <w:r>
        <w:t xml:space="preserve"> </w:t>
      </w:r>
      <w:hyperlink r:id="rId38">
        <w:r>
          <w:rPr>
            <w:rStyle w:val="Hyperlink"/>
          </w:rPr>
          <w:t xml:space="preserve">Gemini Robotics 1.5 official page</w:t>
        </w:r>
      </w:hyperlink>
      <w:r>
        <w:t xml:space="preserve"> </w:t>
      </w:r>
      <w:r>
        <w:t xml:space="preserve">- multi-embodiment VLA case study.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D3.</w:t>
      </w:r>
      <w:r>
        <w:t xml:space="preserve"> </w:t>
      </w:r>
      <w:r>
        <w:t xml:space="preserve">NVIDIA,</w:t>
      </w:r>
      <w:r>
        <w:t xml:space="preserve"> </w:t>
      </w:r>
      <w:hyperlink r:id="rId39">
        <w:r>
          <w:rPr>
            <w:rStyle w:val="Hyperlink"/>
          </w:rPr>
          <w:t xml:space="preserve">Isaac GR00T N1.7 GitHub</w:t>
        </w:r>
      </w:hyperlink>
      <w:r>
        <w:t xml:space="preserve"> </w:t>
      </w:r>
      <w:r>
        <w:t xml:space="preserve">- Early Access humanoid/generalist robot stack, pretrained weights, fine-tuning/inference reference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D4.</w:t>
      </w:r>
      <w:r>
        <w:t xml:space="preserve"> </w:t>
      </w:r>
      <w:r>
        <w:t xml:space="preserve">NVIDIA Developer Forum,</w:t>
      </w:r>
      <w:r>
        <w:t xml:space="preserve"> </w:t>
      </w:r>
      <w:hyperlink r:id="rId40">
        <w:r>
          <w:rPr>
            <w:rStyle w:val="Hyperlink"/>
          </w:rPr>
          <w:t xml:space="preserve">GR00T N1.7 Early Access announcement</w:t>
        </w:r>
      </w:hyperlink>
      <w:r>
        <w:t xml:space="preserve"> </w:t>
      </w:r>
      <w:r>
        <w:t xml:space="preserve">- commercial licensing and deployment framing.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D5.</w:t>
      </w:r>
      <w:r>
        <w:t xml:space="preserve"> </w:t>
      </w:r>
      <w:r>
        <w:t xml:space="preserve">Figure AI,</w:t>
      </w:r>
      <w:r>
        <w:t xml:space="preserve"> </w:t>
      </w:r>
      <w:hyperlink r:id="rId41">
        <w:r>
          <w:rPr>
            <w:rStyle w:val="Hyperlink"/>
          </w:rPr>
          <w:t xml:space="preserve">Helix official page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Helix 02 news</w:t>
        </w:r>
      </w:hyperlink>
      <w:r>
        <w:t xml:space="preserve"> </w:t>
      </w:r>
      <w:r>
        <w:t xml:space="preserve">- humanoid VLA/whole-body autonomy case study.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D6.</w:t>
      </w:r>
      <w:r>
        <w:t xml:space="preserve"> </w:t>
      </w:r>
      <w:r>
        <w:t xml:space="preserve">OpenVLA,</w:t>
      </w:r>
      <w:r>
        <w:t xml:space="preserve"> </w:t>
      </w:r>
      <w:hyperlink r:id="rId4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- open-source VLA training/fine-tuning codebase.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evidence-categories"/>
    <w:p>
      <w:pPr>
        <w:pStyle w:val="Heading2"/>
      </w:pPr>
      <w:r>
        <w:t xml:space="preserve">4. Evidence Categories</w:t>
      </w:r>
    </w:p>
    <w:bookmarkStart w:id="46" w:name="classical-robotics-control-evidence"/>
    <w:p>
      <w:pPr>
        <w:pStyle w:val="Heading3"/>
      </w:pPr>
      <w:r>
        <w:t xml:space="preserve">4.1 Classical Robotics / Control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VLA가 아무리 high-level semantics를 잘 다뤄도 실제 로봇은 state estimation, dynamics, constraints, contact, actuator limits, latency 안에서 움직인다는 점을 고정한다.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A1-A4, B1-B6, B14.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1.2, 1.3, 1.4.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VLA output은 곧바로 physical motion이 아니다. VLA output은 controller, servo loop, planner, impedance/OSC/MPC layer와 만나는 interface이다.</w:t>
      </w:r>
    </w:p>
    <w:bookmarkEnd w:id="46"/>
    <w:bookmarkStart w:id="47" w:name="planning-tamp-evidence"/>
    <w:p>
      <w:pPr>
        <w:pStyle w:val="Heading3"/>
      </w:pPr>
      <w:r>
        <w:t xml:space="preserve">4.2 Planning / TAMP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자연어 명령은 long-horizon task, subgoal, precondition/effect, feasibility, retry/recovery를 요구한다. 이것은 LLM/VLM 이전부터 planning과 TAMP가 다뤄온 문제다.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A5-A6, B7-B10, B18-B20.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1.2, 1.4, 1.5.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LLM/VLM/ER 모델은 symbolic planner를 완전히 폐기한 것이 아니라, 일부 planning function을 neural reasoning layer로 재배치했다.</w:t>
      </w:r>
    </w:p>
    <w:bookmarkEnd w:id="47"/>
    <w:bookmarkStart w:id="48" w:name="robot-learning-evidence"/>
    <w:p>
      <w:pPr>
        <w:pStyle w:val="Heading3"/>
      </w:pPr>
      <w:r>
        <w:t xml:space="preserve">4.3 Robot Learning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VLA의 직접 조상은 imitation learning, visuomotor policy, large-scale robot learning이다. VLA는 LLM만으로 생긴 것이 아니라 perception-to-action learning의 연장선이다.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A7-A8, B11-B14, B21-B26.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1.4, 1.5, 1.6.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VLA는 language grounding이 붙은 robot policy이며, behavior cloning/covariate shift/offline data/action distribution 문제가 그대로 남아 있다.</w:t>
      </w:r>
    </w:p>
    <w:bookmarkEnd w:id="48"/>
    <w:bookmarkStart w:id="49" w:name="vlm-llm-robotics-bridge-evidence"/>
    <w:p>
      <w:pPr>
        <w:pStyle w:val="Heading3"/>
      </w:pPr>
      <w:r>
        <w:t xml:space="preserve">4.4 VLM / LLM Robotics Bridge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VLM/LLM은 semantics, common sense, instruction following, tool use를 제공하지만, embodiment-specific feasibility와 low-level execution은 별도의 grounding이 필요하다.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B15-B20.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1.1, 1.4, 1.5.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SayCan, Code as Policies, PaLM-E는 VLA 이전의 bridge다. 이들은</w:t>
      </w:r>
      <w:r>
        <w:t xml:space="preserve"> </w:t>
      </w:r>
      <w:r>
        <w:t xml:space="preserve">“</w:t>
      </w:r>
      <w:r>
        <w:t xml:space="preserve">language model as planner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controller/skill as executor</w:t>
      </w:r>
      <w:r>
        <w:t xml:space="preserve">”</w:t>
      </w:r>
      <w:r>
        <w:t xml:space="preserve">의 구조를 보여준다.</w:t>
      </w:r>
    </w:p>
    <w:bookmarkEnd w:id="49"/>
    <w:bookmarkStart w:id="50" w:name="vla-core-evidence"/>
    <w:p>
      <w:pPr>
        <w:pStyle w:val="Heading3"/>
      </w:pPr>
      <w:r>
        <w:t xml:space="preserve">4.5 VLA Core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RT-1/RT-2/OpenVLA/pi0/FAST/OpenVLA-OFT를 통해 VLA가 어떻게 action prediction model로 발전했는지 짧게 보여준다.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B21-B24, C1-C4, C10, D6.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1.5.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VLA의 핵심은 vision-language backbone 여부만이 아니라 action representation, control frequency, temporal horizon, embodiment adaptation이다.</w:t>
      </w:r>
    </w:p>
    <w:bookmarkEnd w:id="50"/>
    <w:bookmarkStart w:id="51" w:name="data-evaluation-safety-evidence"/>
    <w:p>
      <w:pPr>
        <w:pStyle w:val="Heading3"/>
      </w:pPr>
      <w:r>
        <w:t xml:space="preserve">4.6 Data / Evaluation / Safety Evidence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Real VLA system의 신뢰성은 model architecture만으로 결정되지 않는다. 데이터 수집/정규화, evaluation protocol, safety assurance가 함께 붙어야 한다.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B23-B26, C5-C9.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1.6, 1.7.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benchmark success와 physical capability는 다르다. 평가와 safety는 appendix가 아니라 system layer다.</w:t>
      </w:r>
    </w:p>
    <w:bookmarkEnd w:id="51"/>
    <w:bookmarkStart w:id="52" w:name="X08740d136f6c10a7a2af7778371e3145228ebbd"/>
    <w:p>
      <w:pPr>
        <w:pStyle w:val="Heading3"/>
      </w:pPr>
      <w:r>
        <w:t xml:space="preserve">4.7 Modern ER + VLA / Humanoid / Deployment Case Studies</w:t>
      </w:r>
    </w:p>
    <w:p>
      <w:pPr>
        <w:pStyle w:val="FirstParagraph"/>
      </w:pPr>
      <w:r>
        <w:rPr>
          <w:b/>
          <w:bCs/>
        </w:rPr>
        <w:t xml:space="preserve">Role in Chapter 1:</w:t>
      </w:r>
      <w:r>
        <w:t xml:space="preserve"> </w:t>
      </w:r>
      <w:r>
        <w:t xml:space="preserve">2025-2026년 최신 흐름은 single end-to-end VLA만이 아니라 ER + VLA + controller, humanoid whole-body autonomy, on-device/real-time deployment로 이동하고 있음을 보여준다.</w:t>
      </w:r>
    </w:p>
    <w:p>
      <w:pPr>
        <w:pStyle w:val="BodyText"/>
      </w:pPr>
      <w:r>
        <w:rPr>
          <w:b/>
          <w:bCs/>
        </w:rPr>
        <w:t xml:space="preserve">Use sources:</w:t>
      </w:r>
      <w:r>
        <w:t xml:space="preserve"> </w:t>
      </w:r>
      <w:r>
        <w:t xml:space="preserve">D1-D5, C5-C10.</w:t>
      </w:r>
      <w:r>
        <w:br/>
      </w:r>
      <w:r>
        <w:rPr>
          <w:b/>
          <w:bCs/>
        </w:rPr>
        <w:t xml:space="preserve">Ch1 placement:</w:t>
      </w:r>
      <w:r>
        <w:t xml:space="preserve"> </w:t>
      </w:r>
      <w:r>
        <w:t xml:space="preserve">1.5, 1.6.</w:t>
      </w:r>
      <w:r>
        <w:br/>
      </w:r>
      <w:r>
        <w:rPr>
          <w:b/>
          <w:bCs/>
        </w:rPr>
        <w:t xml:space="preserve">Core argument:</w:t>
      </w:r>
      <w:r>
        <w:t xml:space="preserve"> </w:t>
      </w:r>
      <w:r>
        <w:t xml:space="preserve">최신 회사 시스템은</w:t>
      </w:r>
      <w:r>
        <w:t xml:space="preserve"> </w:t>
      </w:r>
      <w:r>
        <w:t xml:space="preserve">“</w:t>
      </w:r>
      <w:r>
        <w:t xml:space="preserve">증명된 일반해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산업계가 어떤 system pattern을 시도하는지</w:t>
      </w:r>
      <w:r>
        <w:t xml:space="preserve">”</w:t>
      </w:r>
      <w:r>
        <w:t xml:space="preserve">를 보여주는 case study로 써야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claim-by-claim-evidence-map"/>
    <w:p>
      <w:pPr>
        <w:pStyle w:val="Heading2"/>
      </w:pPr>
      <w:r>
        <w:t xml:space="preserve">5. Claim-by-Claim Evidence Map</w:t>
      </w:r>
    </w:p>
    <w:bookmarkStart w:id="54" w:name="X6963dc5e81f0940344918aade2871f0118229d6"/>
    <w:p>
      <w:pPr>
        <w:pStyle w:val="Heading3"/>
      </w:pPr>
      <w:r>
        <w:t xml:space="preserve">Claim 1. A real VLA system is a layered embodied system, not a single monolithic model.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첫 장에서</w:t>
      </w:r>
      <w:r>
        <w:t xml:space="preserve"> </w:t>
      </w:r>
      <w:r>
        <w:t xml:space="preserve">“</w:t>
      </w:r>
      <w:r>
        <w:t xml:space="preserve">Real VLA</w:t>
      </w:r>
      <w:r>
        <w:t xml:space="preserve">”</w:t>
      </w:r>
      <w:r>
        <w:t xml:space="preserve">의 정의를 잘못 잡으면 책 전체가 최신 논문 survey나 hype 문서로 흘러간다. 이 claim은 책의 중심 thesis를 고정한다.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A1-A4 for robotics stack; A5-A6 for planning stack; A7-A8 for decision-making/policy language.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B18 SayCan for LLM + skill/value grounding; B19 Code as Policies for LLM-generated code calling control primitives; B21 RT-1 and B22 RT-2 for scalable robot action generation; B24 OpenVLA for open VLA policy; C1 pi0 for VLA + flow action; C5 VLA Foundry for training stack.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 as an ER/VLM layer; D2 Gemini Robotics 1.5 as VLA case; D3-D4 GR00T N1.7 as humanoid stack; D5 Helix/Helix 02 as company case study.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VLM can correctly describe a scene and still produce no executable trajectory. A VLA can predict an action but violate contact force, workspace, or timing constraints. A humanoid demo may hide controller, safety monitor, teleoperation, or carefully selected task distribution.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1.1 and 1.2.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say</w:t>
      </w:r>
      <w:r>
        <w:t xml:space="preserve"> </w:t>
      </w:r>
      <w:r>
        <w:t xml:space="preserve">“</w:t>
      </w:r>
      <w:r>
        <w:t xml:space="preserve">VLA is always hierarchical.</w:t>
      </w:r>
      <w:r>
        <w:t xml:space="preserve">”</w:t>
      </w:r>
      <w:r>
        <w:t xml:space="preserve"> </w:t>
      </w:r>
      <w:r>
        <w:t xml:space="preserve">Some systems are more end-to-end. Say instead:</w:t>
      </w:r>
      <w:r>
        <w:t xml:space="preserve"> </w:t>
      </w:r>
      <w:r>
        <w:t xml:space="preserve">“</w:t>
      </w:r>
      <w:r>
        <w:t xml:space="preserve">Real deployment usually exposes layered responsibilities even when the learned model is trained end-to-end.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Start w:id="55" w:name="Xc527beea6d8f9bf1e7b67d49810059b7510d651"/>
    <w:p>
      <w:pPr>
        <w:pStyle w:val="Heading3"/>
      </w:pPr>
      <w:r>
        <w:t xml:space="preserve">Claim 2. Observation is not state; real robot action requires state estimation, proprioception, memory, and latency-aware feedback.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많은 VLA 소개는</w:t>
      </w:r>
      <w:r>
        <w:t xml:space="preserve"> </w:t>
      </w:r>
      <w:r>
        <w:t xml:space="preserve">“</w:t>
      </w:r>
      <w:r>
        <w:t xml:space="preserve">image + language -&gt; action</w:t>
      </w:r>
      <w:r>
        <w:t xml:space="preserve">”</w:t>
      </w:r>
      <w:r>
        <w:t xml:space="preserve">으로 단순화한다. Ch1은 observation, robot state, hidden environment state, proprioception, history를 구분해야 한다.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A1-A4 for state, kinematics, dynamics; B1 Kalman for filtering; A7 for partially observed decision processes.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B12 deep visuomotor policies; B21 RT-1; B24 OpenVLA; C1 pi0; C2 pi0.5. These show observation-conditioned policies but do not remove partial observability.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 uses visual/spatial reasoning and task planning; D3 GR00T N1.7 includes inference and fine-tuning stack for real robot data; D5 Helix 02 claims full-body room-level autonomy but should be treated as case study.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Object occlusion, slipping contact, delayed camera frame, unobserved gripper state, uncalibrated extrinsics, and hidden human motion can make the visual input insufficient. A model may appear semantically correct but act on stale or incomplete state.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1.3.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imply that adding more cameras or a larger VLM solves state estimation. State estimation is a system problem involving sensing, filtering, calibration, timing, and control.</w:t>
      </w:r>
    </w:p>
    <w:p>
      <w:r>
        <w:pict>
          <v:rect style="width:0;height:1.5pt" o:hralign="center" o:hrstd="t" o:hr="t"/>
        </w:pict>
      </w:r>
    </w:p>
    <w:bookmarkEnd w:id="55"/>
    <w:bookmarkStart w:id="56" w:name="Xab8d215f2921dfbc5d7a218a73a7064032446f0"/>
    <w:p>
      <w:pPr>
        <w:pStyle w:val="Heading3"/>
      </w:pPr>
      <w:r>
        <w:t xml:space="preserve">Claim 3. Action representation is the control boundary of a VLA system.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Chapter 1 must introduce why Chapter 13 exists. The reader should understand from the beginning that action token, waypoint, delta pose, action chunk, diffusion/flow output, and torque command are not interchangeable.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A1-A4 for joint space/task space/control interfaces; B4-B6 for force/impedance/operational-space control; B3 for MPC and constraints.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B22 RT-2 for action-as-text-token; B14 Diffusion Policy for action distribution; C1 pi0 for flow matching; C3 FAST for efficient action tokenization; C4 OpenVLA-OFT for continuous actions and optimized fine-tuning.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D2 Gemini Robotics 1.5 as a VLA case that maps visual/instruction input to motor commands; D3 GR00T N1.7 as humanoid policy stack; D5 Helix 02 as whole-body action case.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discrete action token scheme can be convenient for VLM training but brittle for high-frequency dexterous manipulation. Direct low-level torque can be expressive but unsafe or data-hungry. Waypoints can be stable but may push burden to motion planning and control.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1.3 and bridge to Ch13.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say any one action representation is universally best. The right boundary depends on robot morphology, task contact profile, controller availability, latency budget, and data distribution.</w:t>
      </w:r>
    </w:p>
    <w:p>
      <w:r>
        <w:pict>
          <v:rect style="width:0;height:1.5pt" o:hralign="center" o:hrstd="t" o:hr="t"/>
        </w:pict>
      </w:r>
    </w:p>
    <w:bookmarkEnd w:id="56"/>
    <w:bookmarkStart w:id="57" w:name="X8874c15dcf38981aec62b0782cc2fb4a775172b"/>
    <w:p>
      <w:pPr>
        <w:pStyle w:val="Heading3"/>
      </w:pPr>
      <w:r>
        <w:t xml:space="preserve">Claim 4. Classical planning and TAMP remain necessary because language instructions imply long-horizon structure, constraints, and recovery.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Ch1 must prevent the misconception that LLM/VLM reasoning eliminates classical planning. The book’s roboticist perspective is that planning has been reconfigured, not erased.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A5 LaValle; A6 Ghallab/Nau/Traverso; A1-A3 for motion planning/control interfaces.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B7 A*; B8 STRIPS; B9 PDDL; B10 PDDLStream; B18 SayCan; B19 Code as Policies; B20 PaLM-E; VoxPoser can be added as bridge evidence in final citation list.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 as task planning/spatial reasoning/success detection layer; D2 Gemini Robotics 1.5 as VLA; C7 BeTTER as caution against static benchmark success.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robot asked to</w:t>
      </w:r>
      <w:r>
        <w:t xml:space="preserve"> </w:t>
      </w:r>
      <w:r>
        <w:t xml:space="preserve">“</w:t>
      </w:r>
      <w:r>
        <w:t xml:space="preserve">put the groceries away</w:t>
      </w:r>
      <w:r>
        <w:t xml:space="preserve">”</w:t>
      </w:r>
      <w:r>
        <w:t xml:space="preserve"> </w:t>
      </w:r>
      <w:r>
        <w:t xml:space="preserve">must infer categories, object affordances, container states, navigation constraints, grasp feasibility, sequencing, and recovery from failed grasps. A one-step VLA policy is insufficient unless a larger system handles decomposition and feedback.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1.2, 1.4, 1.5.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frame TAMP as always explicitly symbolic. The point is not</w:t>
      </w:r>
      <w:r>
        <w:t xml:space="preserve"> </w:t>
      </w:r>
      <w:r>
        <w:t xml:space="preserve">“</w:t>
      </w:r>
      <w:r>
        <w:t xml:space="preserve">PDDL must be used,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task-level structure, feasibility, and recovery must exist somewhere in the system.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X6e33fade10f0c05fcfe2817bb77110cb7da77c9"/>
    <w:p>
      <w:pPr>
        <w:pStyle w:val="Heading3"/>
      </w:pPr>
      <w:r>
        <w:t xml:space="preserve">Claim 5. VLM/LLM robotics bridge systems solved semantic grounding only partially; embodiment-specific affordance remains the central bottleneck.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This claim explains why the field moved from LLM-as-planner to VLA/action-policy models and why ER + VLA is now a natural architecture.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A6 for planning; A7 for policy/affordance-style decision making; A1-A4 for embodiment-specific constraints.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B16 CLIP and B17 Flamingo for VLM representation; B18 SayCan for affordance grounding; B19 Code as Policies for skill/controller API use; B20 PaLM-E for multimodal embodied inference; B22 RT-2 for VLM-to-action transfer.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 as high-level embodied reasoning layer; D2 Gemini Robotics 1.5 as VLA model; D5 Helix as humanoid VLA case.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An LLM can propose a plausible plan that the robot cannot execute due to gripper limits, object pose, clutter, reachable workspace, missing tool, or unsafe human proximity.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1.4 and 1.5.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say VLM/LLM bridge systems are obsolete. They are ancestors and still active components in hierarchical VLA systems.</w:t>
      </w:r>
    </w:p>
    <w:p>
      <w:r>
        <w:pict>
          <v:rect style="width:0;height:1.5pt" o:hralign="center" o:hrstd="t" o:hr="t"/>
        </w:pict>
      </w:r>
    </w:p>
    <w:bookmarkEnd w:id="58"/>
    <w:bookmarkStart w:id="59" w:name="X1fd5e2139b3f46455f4d5905a61a3e72c12b5c3"/>
    <w:p>
      <w:pPr>
        <w:pStyle w:val="Heading3"/>
      </w:pPr>
      <w:r>
        <w:t xml:space="preserve">Claim 6. VLA scaling is data-engineering constrained, not only architecture constrained.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Chapter 1 must prepare the reader for Chapter 14. Robot foundation models do not scale exactly like web LLMs because robot data is expensive, embodiment-specific, action-labeled, temporally structured, and safety-sensitive.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A7 for policy learning; A8 for control-as-inference; A1-A4 for robot embodiment differences.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B23 Open X-Embodiment / RT-X; B24 OpenVLA; B25 Octo; B26 DROID; B11 DAgger; B13 QT-Opt; C5 VLA Foundry.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D3 GR00T N1.7 for fine-tuning/inference with custom robot data; D6 OpenVLA GitHub for open-source training/fine-tuning codebase; C5 VLA Foundry for unified training stack.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model trained on many robot demonstrations may still fail on a new embodiment if action normalization, sensor placement, calibration, gripper morphology, or task success criteria shift.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1.6 and bridge to Ch14.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say</w:t>
      </w:r>
      <w:r>
        <w:t xml:space="preserve"> </w:t>
      </w:r>
      <w:r>
        <w:t xml:space="preserve">“</w:t>
      </w:r>
      <w:r>
        <w:t xml:space="preserve">more robot data always solves generalization.</w:t>
      </w:r>
      <w:r>
        <w:t xml:space="preserve">”</w:t>
      </w:r>
      <w:r>
        <w:t xml:space="preserve"> </w:t>
      </w:r>
      <w:r>
        <w:t xml:space="preserve">Data diversity, quality, labeling, failure coverage, embodiment normalization, and evaluation protocol matter.</w:t>
      </w:r>
    </w:p>
    <w:p>
      <w:r>
        <w:pict>
          <v:rect style="width:0;height:1.5pt" o:hralign="center" o:hrstd="t" o:hr="t"/>
        </w:pict>
      </w:r>
    </w:p>
    <w:bookmarkEnd w:id="59"/>
    <w:bookmarkStart w:id="60" w:name="X07b19ca66ca28ceb66e3da9fcd23d835b67b4ec"/>
    <w:p>
      <w:pPr>
        <w:pStyle w:val="Heading3"/>
      </w:pPr>
      <w:r>
        <w:t xml:space="preserve">Claim 7. Modern VLA architecture is increasingly organized around temporal/action distribution choices: token, chunk, diffusion, flow, and action expert.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Chapter 1 should foreshadow that the most important technical axis is not merely backbone size, but how action is generated over time and passed to the robot.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A1-A4 for action/control interfaces; A7-A8 for policy distributions and trajectory-level decision making.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B14 Diffusion Policy; B22 RT-2; B24 OpenVLA; C1 pi0; C3 FAST; C4 OpenVLA-OFT; C10 openpi. ACT/ALOHA and Mobile ALOHA should be added in Ch13 evidence map even if Ch1 mentions them only briefly.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D3 GR00T N1.7 and D5 Helix 02 for humanoid/whole-body action as case study; D2 Gemini Robotics 1.5 as VLA model; C4 OpenVLA-OFT as fine-tuning and continuous-action case.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model that reasons well semantically can still fail in contact-rich manipulation if its action representation cannot express smooth, multimodal, high-frequency motion.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1.3, 1.5, and explicit handoff to Ch13.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turn Ch1 into an action representation chapter. Introduce the taxonomy and defer details to Ch13.</w:t>
      </w:r>
    </w:p>
    <w:p>
      <w:r>
        <w:pict>
          <v:rect style="width:0;height:1.5pt" o:hralign="center" o:hrstd="t" o:hr="t"/>
        </w:pict>
      </w:r>
    </w:p>
    <w:bookmarkEnd w:id="60"/>
    <w:bookmarkStart w:id="61" w:name="X222681e102f44e468a7d4f8de2c441df0eb9572"/>
    <w:p>
      <w:pPr>
        <w:pStyle w:val="Heading3"/>
      </w:pPr>
      <w:r>
        <w:t xml:space="preserve">Claim 8. Evaluation must test more than task success on familiar benchmarks; it must test protocol reproducibility, distribution shift, reasoning, timing, and failure recovery.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VLA readers often overinterpret benchmark success rates. Ch1 should warn that success rate is a useful but incomplete proxy.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A7 for evaluation under policy learning and generalization; A4 for robotics system evaluation context.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C6 vla-eval; C7 BeTTER; B23 Open X-Embodiment; B24 OpenVLA; B25 Octo; B26 DROID; CALVIN, LIBERO, and ManiSkill can be added in Ch16 detailed evidence map.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C6 vla-eval as evaluation harness; C7 BeTTER as reasoning stress test; D1/D2 as examples where ER vs VLA must be evaluated separately.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policy may score highly on static benchmark tasks but fail under spatial layout shift, temporal extrapolation, unseen object configurations, ambiguous termination semantics, or latency-induced closed-loop instability.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1.6 and bridge to Ch16.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imply new diagnostic benchmarks are final truth. Use them as evidence that evaluation protocols need stress tests and reproducibility audits.</w:t>
      </w:r>
    </w:p>
    <w:p>
      <w:r>
        <w:pict>
          <v:rect style="width:0;height:1.5pt" o:hralign="center" o:hrstd="t" o:hr="t"/>
        </w:pict>
      </w:r>
    </w:p>
    <w:bookmarkEnd w:id="61"/>
    <w:bookmarkStart w:id="62" w:name="Xd4669694834cce49f905990381490635074c0b3"/>
    <w:p>
      <w:pPr>
        <w:pStyle w:val="Heading3"/>
      </w:pPr>
      <w:r>
        <w:t xml:space="preserve">Claim 9. Safety is a stack property, not a property of the VLA model alone.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This claim prevents the book from treating safety as a final appendix. It introduces safety as part of the definition of a real VLA system.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A4 for robotics safety/HRI context; A1-A3 for control-level constraints; B3 MPC for constraint-aware control; B5 impedance control for interaction safety.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C8 ASIMOV v2; C9 VLA safety survey; C6 vla-eval; C7 BeTTER. Existing robot safety standards may be introduced later in Ch19, not necessary in Ch1 unless the outline needs it.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 docs explicitly treat robotics generative model use as safety-sensitive; D2 Gemini Robotics 1.5 and D3 GR00T N1.7 as deployment case studies requiring system assurance.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semantically safe instruction can become physically unsafe due to collision, excessive force, unstable grasp, hot object handling, human proximity, or failure to stop after partial task completion.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1.2, 1.6, and bridge to Ch19.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claim a semantic safety filter makes a robot safe. Safety requires semantic, geometric, dynamic, runtime, and human-override mechanisms.</w:t>
      </w:r>
    </w:p>
    <w:p>
      <w:r>
        <w:pict>
          <v:rect style="width:0;height:1.5pt" o:hralign="center" o:hrstd="t" o:hr="t"/>
        </w:pict>
      </w:r>
    </w:p>
    <w:bookmarkEnd w:id="62"/>
    <w:bookmarkStart w:id="63" w:name="X15e025ff760baa811159e8b07b71c574065271d"/>
    <w:p>
      <w:pPr>
        <w:pStyle w:val="Heading3"/>
      </w:pPr>
      <w:r>
        <w:t xml:space="preserve">Claim 10. 2025-2026 systems show a practical trend toward ER + VLA + controller and humanoid/whole-body deployment, but these systems should be treated as case studies, not settled science.</w:t>
      </w:r>
    </w:p>
    <w:p>
      <w:pPr>
        <w:pStyle w:val="FirstParagraph"/>
      </w:pPr>
      <w:r>
        <w:rPr>
          <w:b/>
          <w:bCs/>
        </w:rPr>
        <w:t xml:space="preserve">Why this claim is needed in Ch1:</w:t>
      </w:r>
      <w:r>
        <w:br/>
      </w:r>
      <w:r>
        <w:t xml:space="preserve">Chapter 1 should be current enough to motivate the book, but it should not overfit to company demos or preprints. This claim gives a disciplined way to discuss latest systems.</w:t>
      </w:r>
    </w:p>
    <w:p>
      <w:pPr>
        <w:pStyle w:val="BodyText"/>
      </w:pPr>
      <w:r>
        <w:rPr>
          <w:b/>
          <w:bCs/>
        </w:rPr>
        <w:t xml:space="preserve">Use textbook/reference:</w:t>
      </w:r>
      <w:r>
        <w:br/>
      </w:r>
      <w:r>
        <w:t xml:space="preserve">A1-A4 for whole-body control and manipulation context; A5-A6 for high-level planning; A7-A8 for policy learning.</w:t>
      </w:r>
    </w:p>
    <w:p>
      <w:pPr>
        <w:pStyle w:val="BodyText"/>
      </w:pPr>
      <w:r>
        <w:rPr>
          <w:b/>
          <w:bCs/>
        </w:rPr>
        <w:t xml:space="preserve">Use papers/reference:</w:t>
      </w:r>
      <w:r>
        <w:br/>
      </w:r>
      <w:r>
        <w:t xml:space="preserve">C1 pi0; C2 pi0.5; C3 FAST; C5 VLA Foundry; C6 vla-eval; C7 BeTTER; C8 ASIMOV v2.</w:t>
      </w:r>
    </w:p>
    <w:p>
      <w:pPr>
        <w:pStyle w:val="BodyText"/>
      </w:pPr>
      <w:r>
        <w:rPr>
          <w:b/>
          <w:bCs/>
        </w:rPr>
        <w:t xml:space="preserve">Use latest system cases:</w:t>
      </w:r>
      <w:r>
        <w:br/>
      </w:r>
      <w:r>
        <w:t xml:space="preserve">D1 Gemini Robotics-ER 1.6; D2 Gemini Robotics 1.5; D3-D4 GR00T N1.7; D5 Helix/Helix 02; D6 OpenVLA GitHub.</w:t>
      </w:r>
    </w:p>
    <w:p>
      <w:pPr>
        <w:pStyle w:val="BodyText"/>
      </w:pPr>
      <w:r>
        <w:rPr>
          <w:b/>
          <w:bCs/>
        </w:rPr>
        <w:t xml:space="preserve">Counterexample / failure mode:</w:t>
      </w:r>
      <w:r>
        <w:br/>
      </w:r>
      <w:r>
        <w:t xml:space="preserve">A polished whole-body demo can be produced under constrained conditions. Without reproducible protocols, failure logs, controller details, safety mechanisms, and distribution-shift testing, it cannot be used as proof of general physical intelligence.</w:t>
      </w:r>
    </w:p>
    <w:p>
      <w:pPr>
        <w:pStyle w:val="BodyText"/>
      </w:pPr>
      <w:r>
        <w:rPr>
          <w:b/>
          <w:bCs/>
        </w:rPr>
        <w:t xml:space="preserve">Section placement:</w:t>
      </w:r>
      <w:r>
        <w:br/>
      </w:r>
      <w:r>
        <w:t xml:space="preserve">1.5 and 1.6.</w:t>
      </w:r>
    </w:p>
    <w:p>
      <w:pPr>
        <w:pStyle w:val="BodyText"/>
      </w:pPr>
      <w:r>
        <w:rPr>
          <w:b/>
          <w:bCs/>
        </w:rPr>
        <w:t xml:space="preserve">Avoid overclaim:</w:t>
      </w:r>
      <w:r>
        <w:br/>
      </w:r>
      <w:r>
        <w:t xml:space="preserve">Do not say humanoid VLA has solved general robotics. Say it is an important deployment frontier where action representation, whole-body control, safety, latency, and data collection become inseparable.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X991ede02bf3eb470973b449f4beea25685a9bf5"/>
    <w:p>
      <w:pPr>
        <w:pStyle w:val="Heading2"/>
      </w:pPr>
      <w:r>
        <w:t xml:space="preserve">6. Figure and Table Candidates for Chapter 1</w:t>
      </w:r>
    </w:p>
    <w:bookmarkStart w:id="65" w:name="figure-1.1.-real-vla-system-stack"/>
    <w:p>
      <w:pPr>
        <w:pStyle w:val="Heading3"/>
      </w:pPr>
      <w:r>
        <w:t xml:space="preserve">Figure 1.1. Real VLA System Stack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after Section 1.2 opening.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Show that Real VLA is not a single model.</w:t>
      </w:r>
      <w:r>
        <w:br/>
      </w: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Human instruction / task context / environment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Embodied Reasoning Layer</w:t>
      </w:r>
      <w:r>
        <w:br/>
      </w:r>
      <w:r>
        <w:rPr>
          <w:rStyle w:val="VerbatimChar"/>
        </w:rPr>
        <w:t xml:space="preserve">(scene understanding, task decomposition, memory, tool/VLA calls)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VLA Policy Layer</w:t>
      </w:r>
      <w:r>
        <w:br/>
      </w:r>
      <w:r>
        <w:rPr>
          <w:rStyle w:val="VerbatimChar"/>
        </w:rPr>
        <w:t xml:space="preserve">(observation + language + proprioception -&gt; action representation)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Motion / Control Layer</w:t>
      </w:r>
      <w:r>
        <w:br/>
      </w:r>
      <w:r>
        <w:rPr>
          <w:rStyle w:val="VerbatimChar"/>
        </w:rPr>
        <w:t xml:space="preserve">(trajectory, servo, impedance, OSC, MPC, WBC)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Robot hardware + environment</w:t>
      </w:r>
      <w:r>
        <w:br/>
      </w:r>
      <w:r>
        <w:rPr>
          <w:rStyle w:val="VerbatimChar"/>
        </w:rPr>
        <w:t xml:space="preserve">        ↕</w:t>
      </w:r>
      <w:r>
        <w:br/>
      </w:r>
      <w:r>
        <w:rPr>
          <w:rStyle w:val="VerbatimChar"/>
        </w:rPr>
        <w:t xml:space="preserve">Safety / Assurance Layer and Data / Evaluation Layer wrap the stack</w:t>
      </w:r>
    </w:p>
    <w:p>
      <w:pPr>
        <w:pStyle w:val="FirstParagraph"/>
      </w:pPr>
      <w:r>
        <w:rPr>
          <w:b/>
          <w:bCs/>
        </w:rPr>
        <w:t xml:space="preserve">Evidence support:</w:t>
      </w:r>
      <w:r>
        <w:t xml:space="preserve"> </w:t>
      </w:r>
      <w:r>
        <w:t xml:space="preserve">Claim 1, 3, 4, 9.</w:t>
      </w:r>
      <w:r>
        <w:br/>
      </w:r>
      <w:r>
        <w:rPr>
          <w:b/>
          <w:bCs/>
        </w:rPr>
        <w:t xml:space="preserve">Warning:</w:t>
      </w:r>
      <w:r>
        <w:t xml:space="preserve"> </w:t>
      </w:r>
      <w:r>
        <w:t xml:space="preserve">Do not imply every system has exactly this modular implementation. Present it as a conceptual accountability stack.</w:t>
      </w:r>
    </w:p>
    <w:bookmarkEnd w:id="65"/>
    <w:bookmarkStart w:id="66" w:name="figure-1.2.-control-boundary-a_t-vs-u_t"/>
    <w:p>
      <w:pPr>
        <w:pStyle w:val="Heading3"/>
      </w:pPr>
      <w:r>
        <w:t xml:space="preserve">Figure 1.2. Control Boundary: a_t vs u_t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1.3.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Distinguish learned policy action representation from actual low-level control command.</w:t>
      </w:r>
      <w:r>
        <w:br/>
      </w: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o_t, q_t, language -&gt; VLA policy -&gt; a_t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controller/planner/safety gate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     u_t -&gt; robot</w:t>
      </w:r>
    </w:p>
    <w:p>
      <w:pPr>
        <w:pStyle w:val="FirstParagraph"/>
      </w:pPr>
      <w:r>
        <w:rPr>
          <w:b/>
          <w:bCs/>
        </w:rPr>
        <w:t xml:space="preserve">Notation: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o_t</w:t>
      </w:r>
      <w:r>
        <w:t xml:space="preserve">: observation, e.g., RGB image, depth, tactile signal.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q_t</w:t>
      </w:r>
      <w:r>
        <w:t xml:space="preserve">: robot state/proprioception.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a_t</w:t>
      </w:r>
      <w:r>
        <w:t xml:space="preserve">: policy-level action representation, e.g., token, waypoint, delta pose, action chunk.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u_t</w:t>
      </w:r>
      <w:r>
        <w:t xml:space="preserve">: actuator/controller command, e.g., joint velocity, torque, impedance target.</w:t>
      </w:r>
    </w:p>
    <w:p>
      <w:pPr>
        <w:pStyle w:val="BodyText"/>
      </w:pPr>
      <w:r>
        <w:rPr>
          <w:b/>
          <w:bCs/>
        </w:rPr>
        <w:t xml:space="preserve">Evidence support:</w:t>
      </w:r>
      <w:r>
        <w:t xml:space="preserve"> </w:t>
      </w:r>
      <w:r>
        <w:t xml:space="preserve">Claim 2, 3, 7, 9.</w:t>
      </w:r>
    </w:p>
    <w:bookmarkEnd w:id="66"/>
    <w:bookmarkStart w:id="67" w:name="figure-1.3.-historical-convergence-map"/>
    <w:p>
      <w:pPr>
        <w:pStyle w:val="Heading3"/>
      </w:pPr>
      <w:r>
        <w:t xml:space="preserve">Figure 1.3. Historical Convergence Map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1.4.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Convert history into concept lineage rather than paper chronology.</w:t>
      </w:r>
      <w:r>
        <w:br/>
      </w: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Control/Estimation -&gt; stable execution and feedback</w:t>
      </w:r>
      <w:r>
        <w:br/>
      </w:r>
      <w:r>
        <w:rPr>
          <w:rStyle w:val="VerbatimChar"/>
        </w:rPr>
        <w:t xml:space="preserve">Planning/TAMP -&gt; goals, constraints, feasibility, recovery</w:t>
      </w:r>
      <w:r>
        <w:br/>
      </w:r>
      <w:r>
        <w:rPr>
          <w:rStyle w:val="VerbatimChar"/>
        </w:rPr>
        <w:t xml:space="preserve">Robot Learning -&gt; perception-to-action and imitation/RL</w:t>
      </w:r>
      <w:r>
        <w:br/>
      </w:r>
      <w:r>
        <w:rPr>
          <w:rStyle w:val="VerbatimChar"/>
        </w:rPr>
        <w:t xml:space="preserve">VLM/LLM -&gt; semantics, language, common sense, grounding</w:t>
      </w:r>
      <w:r>
        <w:br/>
      </w:r>
      <w:r>
        <w:rPr>
          <w:rStyle w:val="VerbatimChar"/>
        </w:rPr>
        <w:t xml:space="preserve">Data/Eval/Safety -&gt; scaling, verification, deployment discipline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Real VLA System</w:t>
      </w:r>
    </w:p>
    <w:p>
      <w:pPr>
        <w:pStyle w:val="FirstParagraph"/>
      </w:pPr>
      <w:r>
        <w:rPr>
          <w:b/>
          <w:bCs/>
        </w:rPr>
        <w:t xml:space="preserve">Evidence support:</w:t>
      </w:r>
      <w:r>
        <w:t xml:space="preserve"> </w:t>
      </w:r>
      <w:r>
        <w:t xml:space="preserve">all claims.</w:t>
      </w:r>
    </w:p>
    <w:bookmarkEnd w:id="67"/>
    <w:bookmarkStart w:id="68" w:name="figure-1.4.-failure-modes-by-layer"/>
    <w:p>
      <w:pPr>
        <w:pStyle w:val="Heading3"/>
      </w:pPr>
      <w:r>
        <w:t xml:space="preserve">Figure 1.4. Failure Modes by Layer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1.6.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Foreshadow Ch14/Ch16/Ch19.</w:t>
      </w:r>
      <w:r>
        <w:br/>
      </w:r>
      <w:r>
        <w:rPr>
          <w:b/>
          <w:bCs/>
        </w:rPr>
        <w:t xml:space="preserve">Structure:</w:t>
      </w:r>
      <w:r>
        <w:t xml:space="preserve"> </w:t>
      </w:r>
      <w:r>
        <w:t xml:space="preserve">Each layer has representative failure: semantic hallucination, state mismatch, invalid action representation, controller violation, unsafe contact, benchmark artifact, data shift.</w:t>
      </w:r>
    </w:p>
    <w:bookmarkEnd w:id="68"/>
    <w:bookmarkStart w:id="69" w:name="Xf332a3a3f725e5fa2cdd29e2667d5ccc3f1c83a"/>
    <w:p>
      <w:pPr>
        <w:pStyle w:val="Heading3"/>
      </w:pPr>
      <w:r>
        <w:t xml:space="preserve">Table 1.1. VLM vs VLA Model vs Real VLA System vs ER Model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1.1 or 1.2.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Prevent terminology confusion.</w:t>
      </w:r>
      <w:r>
        <w:br/>
      </w:r>
      <w:r>
        <w:rPr>
          <w:b/>
          <w:bCs/>
        </w:rPr>
        <w:t xml:space="preserve">Suggested columns:</w:t>
      </w:r>
      <w:r>
        <w:t xml:space="preserve"> </w:t>
      </w:r>
      <w:r>
        <w:t xml:space="preserve">Entity, input, output, physical responsibility, examples, what it cannot guarantee.</w:t>
      </w:r>
    </w:p>
    <w:bookmarkEnd w:id="69"/>
    <w:bookmarkStart w:id="70" w:name="X67f53cf3ade35a83b4646a5fe0cd3d9d835d83d"/>
    <w:p>
      <w:pPr>
        <w:pStyle w:val="Heading3"/>
      </w:pPr>
      <w:r>
        <w:t xml:space="preserve">Table 1.2. Action Representation and Control Interface Preview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1.3.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Hand off to Ch13.</w:t>
      </w:r>
      <w:r>
        <w:br/>
      </w:r>
      <w:r>
        <w:rPr>
          <w:b/>
          <w:bCs/>
        </w:rPr>
        <w:t xml:space="preserve">Suggested rows:</w:t>
      </w:r>
      <w:r>
        <w:t xml:space="preserve"> </w:t>
      </w:r>
      <w:r>
        <w:t xml:space="preserve">action token, delta pose, waypoint, action chunk, diffusion/flow action, torque, whole-body action.</w:t>
      </w:r>
      <w:r>
        <w:br/>
      </w:r>
      <w:r>
        <w:rPr>
          <w:b/>
          <w:bCs/>
        </w:rPr>
        <w:t xml:space="preserve">Suggested columns:</w:t>
      </w:r>
      <w:r>
        <w:t xml:space="preserve"> </w:t>
      </w:r>
      <w:r>
        <w:t xml:space="preserve">where it appears, controller burden, strengths, risks.</w:t>
      </w:r>
    </w:p>
    <w:bookmarkEnd w:id="70"/>
    <w:bookmarkStart w:id="71" w:name="X99220ead959562ff76af16d1a460202ea1700b1"/>
    <w:p>
      <w:pPr>
        <w:pStyle w:val="Heading3"/>
      </w:pPr>
      <w:r>
        <w:t xml:space="preserve">Table 1.3. Claim-to-Chapter Handoff Matrix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1.7.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Show how Ch1 locks the book’s terminology.</w:t>
      </w:r>
      <w:r>
        <w:br/>
      </w:r>
      <w:r>
        <w:rPr>
          <w:b/>
          <w:bCs/>
        </w:rPr>
        <w:t xml:space="preserve">Suggested columns:</w:t>
      </w:r>
      <w:r>
        <w:t xml:space="preserve"> </w:t>
      </w:r>
      <w:r>
        <w:t xml:space="preserve">Claim, concept locked in Ch1, detailed chapter, deferred question.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opening-examples-for-chapter-1"/>
    <w:p>
      <w:pPr>
        <w:pStyle w:val="Heading2"/>
      </w:pPr>
      <w:r>
        <w:t xml:space="preserve">7. Opening Examples for Chapter 1</w:t>
      </w:r>
    </w:p>
    <w:bookmarkStart w:id="73" w:name="X2aaf7f5f65d0b8bad4576cb1c40d5aca3b6b02f"/>
    <w:p>
      <w:pPr>
        <w:pStyle w:val="Heading3"/>
      </w:pPr>
      <w:r>
        <w:t xml:space="preserve">Opening Example A.</w:t>
      </w:r>
      <w:r>
        <w:t xml:space="preserve"> </w:t>
      </w:r>
      <w:r>
        <w:t xml:space="preserve">“</w:t>
      </w:r>
      <w:r>
        <w:t xml:space="preserve">Clean the table after breakfast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Why useful:</w:t>
      </w:r>
      <w:r>
        <w:br/>
      </w:r>
      <w:r>
        <w:t xml:space="preserve">This example contains semantic categorization, object affordance, contact manipulation, order of operations, safety, and recovery.</w:t>
      </w:r>
    </w:p>
    <w:p>
      <w:pPr>
        <w:pStyle w:val="BodyText"/>
      </w:pPr>
      <w:r>
        <w:rPr>
          <w:b/>
          <w:bCs/>
        </w:rPr>
        <w:t xml:space="preserve">What it demonstrates:</w:t>
      </w:r>
      <w:r>
        <w:br/>
      </w:r>
      <w:r>
        <w:t xml:space="preserve">A VLM can identify objects; an ER model can decompose the task; a VLA policy can issue pick/place actions; a controller must execute safe contact; evaluation must check partial completion and recovery.</w:t>
      </w:r>
    </w:p>
    <w:p>
      <w:pPr>
        <w:pStyle w:val="BodyText"/>
      </w:pPr>
      <w:r>
        <w:rPr>
          <w:b/>
          <w:bCs/>
        </w:rPr>
        <w:t xml:space="preserve">Use with claims:</w:t>
      </w:r>
      <w:r>
        <w:br/>
      </w:r>
      <w:r>
        <w:t xml:space="preserve">Claim 1, 3, 4, 6, 8, 9.</w:t>
      </w:r>
    </w:p>
    <w:bookmarkEnd w:id="73"/>
    <w:bookmarkStart w:id="74" w:name="Xc5af0bfb31e8272e9372d16f3dbebf7c99a7b81"/>
    <w:p>
      <w:pPr>
        <w:pStyle w:val="Heading3"/>
      </w:pPr>
      <w:r>
        <w:t xml:space="preserve">Opening Example B.</w:t>
      </w:r>
      <w:r>
        <w:t xml:space="preserve"> </w:t>
      </w:r>
      <w:r>
        <w:t xml:space="preserve">“</w:t>
      </w:r>
      <w:r>
        <w:t xml:space="preserve">Put the mug on the drying rack, but do not knock over the glass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Why useful:</w:t>
      </w:r>
      <w:r>
        <w:br/>
      </w:r>
      <w:r>
        <w:t xml:space="preserve">It directly exposes the difference between semantic instruction following and continuous collision/contact-aware control.</w:t>
      </w:r>
    </w:p>
    <w:p>
      <w:pPr>
        <w:pStyle w:val="BodyText"/>
      </w:pPr>
      <w:r>
        <w:rPr>
          <w:b/>
          <w:bCs/>
        </w:rPr>
        <w:t xml:space="preserve">What it demonstrates:</w:t>
      </w:r>
      <w:r>
        <w:br/>
      </w:r>
      <w:r>
        <w:t xml:space="preserve">Language alone is insufficient. Feasible motion, end-effector pose, force/impedance, visual servoing, and safety monitor are needed.</w:t>
      </w:r>
    </w:p>
    <w:p>
      <w:pPr>
        <w:pStyle w:val="BodyText"/>
      </w:pPr>
      <w:r>
        <w:rPr>
          <w:b/>
          <w:bCs/>
        </w:rPr>
        <w:t xml:space="preserve">Use with claims:</w:t>
      </w:r>
      <w:r>
        <w:br/>
      </w:r>
      <w:r>
        <w:t xml:space="preserve">Claim 2, 3, 4, 9.</w:t>
      </w:r>
    </w:p>
    <w:bookmarkEnd w:id="74"/>
    <w:bookmarkStart w:id="75" w:name="X4084a55a8ee295cd0257a701487e9eef8c8e147"/>
    <w:p>
      <w:pPr>
        <w:pStyle w:val="Heading3"/>
      </w:pPr>
      <w:r>
        <w:t xml:space="preserve">Opening Example C.</w:t>
      </w:r>
      <w:r>
        <w:t xml:space="preserve"> </w:t>
      </w:r>
      <w:r>
        <w:t xml:space="preserve">“</w:t>
      </w:r>
      <w:r>
        <w:t xml:space="preserve">Sort household waste according to local rules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Why useful:</w:t>
      </w:r>
      <w:r>
        <w:br/>
      </w:r>
      <w:r>
        <w:t xml:space="preserve">This illustrates the ER + VLA pattern: retrieve or reason about rules, classify objects, plan bins, and physically manipulate items.</w:t>
      </w:r>
    </w:p>
    <w:p>
      <w:pPr>
        <w:pStyle w:val="BodyText"/>
      </w:pPr>
      <w:r>
        <w:rPr>
          <w:b/>
          <w:bCs/>
        </w:rPr>
        <w:t xml:space="preserve">What it demonstrates:</w:t>
      </w:r>
      <w:r>
        <w:br/>
      </w:r>
      <w:r>
        <w:t xml:space="preserve">High-level reasoning and low-level action are different responsibilities. The example can connect to Gemini Robotics style ER + VLA narratives without depending on one vendor.</w:t>
      </w:r>
    </w:p>
    <w:p>
      <w:pPr>
        <w:pStyle w:val="BodyText"/>
      </w:pPr>
      <w:r>
        <w:rPr>
          <w:b/>
          <w:bCs/>
        </w:rPr>
        <w:t xml:space="preserve">Use with claims:</w:t>
      </w:r>
      <w:r>
        <w:br/>
      </w:r>
      <w:r>
        <w:t xml:space="preserve">Claim 1, 4, 5, 10.</w:t>
      </w:r>
    </w:p>
    <w:bookmarkEnd w:id="75"/>
    <w:bookmarkStart w:id="76" w:name="Xa9f9b53bf35d71779f082826df02d99eb680a43"/>
    <w:p>
      <w:pPr>
        <w:pStyle w:val="Heading3"/>
      </w:pPr>
      <w:r>
        <w:t xml:space="preserve">Opening Example D. Humanoid room-level cleanup demo</w:t>
      </w:r>
    </w:p>
    <w:p>
      <w:pPr>
        <w:pStyle w:val="FirstParagraph"/>
      </w:pPr>
      <w:r>
        <w:rPr>
          <w:b/>
          <w:bCs/>
        </w:rPr>
        <w:t xml:space="preserve">Why useful:</w:t>
      </w:r>
      <w:r>
        <w:br/>
      </w:r>
      <w:r>
        <w:t xml:space="preserve">It motivates why whole-body action, latency, safety, and data collection are now central.</w:t>
      </w:r>
    </w:p>
    <w:p>
      <w:pPr>
        <w:pStyle w:val="BodyText"/>
      </w:pPr>
      <w:r>
        <w:rPr>
          <w:b/>
          <w:bCs/>
        </w:rPr>
        <w:t xml:space="preserve">What it demonstrates:</w:t>
      </w:r>
      <w:r>
        <w:br/>
      </w:r>
      <w:r>
        <w:t xml:space="preserve">Humanoid demos are visually compelling but require careful interpretation. They should be case studies, not proof of general intelligence.</w:t>
      </w:r>
    </w:p>
    <w:p>
      <w:pPr>
        <w:pStyle w:val="BodyText"/>
      </w:pPr>
      <w:r>
        <w:rPr>
          <w:b/>
          <w:bCs/>
        </w:rPr>
        <w:t xml:space="preserve">Use with claims:</w:t>
      </w:r>
      <w:r>
        <w:br/>
      </w:r>
      <w:r>
        <w:t xml:space="preserve">Claim 7, 8, 9, 10.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6900173faf97285c70836a4f6ca54e2021f6931"/>
    <w:p>
      <w:pPr>
        <w:pStyle w:val="Heading2"/>
      </w:pPr>
      <w:r>
        <w:t xml:space="preserve">8. Weak Claims and Hype Statements to Avoid in Chapter 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VLA replaces classical robotics.</w:t>
      </w:r>
      <w:r>
        <w:rPr>
          <w:b/>
          <w:bCs/>
        </w:rPr>
        <w:t xml:space="preserve">”</w:t>
      </w:r>
      <w:r>
        <w:br/>
      </w:r>
      <w:r>
        <w:t xml:space="preserve">Replace with: VLA reorganizes how control, planning, learning, perception, language, data, and safety interact.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 VLA is simply image + language -&gt; action.</w:t>
      </w:r>
      <w:r>
        <w:rPr>
          <w:b/>
          <w:bCs/>
        </w:rPr>
        <w:t xml:space="preserve">”</w:t>
      </w:r>
      <w:r>
        <w:br/>
      </w:r>
      <w:r>
        <w:t xml:space="preserve">Replace with: This is the policy-layer abstraction, not the full deployable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Internet-scale knowledge directly transfers to physical control.</w:t>
      </w:r>
      <w:r>
        <w:rPr>
          <w:b/>
          <w:bCs/>
        </w:rPr>
        <w:t xml:space="preserve">”</w:t>
      </w:r>
      <w:r>
        <w:br/>
      </w:r>
      <w:r>
        <w:t xml:space="preserve">Replace with: Internet-scale pretraining can improve semantic generalization, but embodiment-specific grounding and control remain necessary.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Benchmark success implies embodied reasoning.</w:t>
      </w:r>
      <w:r>
        <w:rPr>
          <w:b/>
          <w:bCs/>
        </w:rPr>
        <w:t xml:space="preserve">”</w:t>
      </w:r>
      <w:r>
        <w:br/>
      </w:r>
      <w:r>
        <w:t xml:space="preserve">Replace with: Benchmark success is one measurement; causal interventions, distribution shift, timing, and recovery must also be tested.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 larger VLM will solve manipulation.</w:t>
      </w:r>
      <w:r>
        <w:rPr>
          <w:b/>
          <w:bCs/>
        </w:rPr>
        <w:t xml:space="preserve">”</w:t>
      </w:r>
      <w:r>
        <w:br/>
      </w:r>
      <w:r>
        <w:t xml:space="preserve">Replace with: Manipulation requires contact, dynamics, action distribution, and feedback-aware execution.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Humanoid demos prove general-purpose robotics is solved.</w:t>
      </w:r>
      <w:r>
        <w:rPr>
          <w:b/>
          <w:bCs/>
        </w:rPr>
        <w:t xml:space="preserve">”</w:t>
      </w:r>
      <w:r>
        <w:br/>
      </w:r>
      <w:r>
        <w:t xml:space="preserve">Replace with: Humanoid demos are important case studies but require reproducible evaluation and safety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Gemini Robotics-ER is itself a VLA.</w:t>
      </w:r>
      <w:r>
        <w:rPr>
          <w:b/>
          <w:bCs/>
        </w:rPr>
        <w:t xml:space="preserve">”</w:t>
      </w:r>
      <w:r>
        <w:br/>
      </w:r>
      <w:r>
        <w:t xml:space="preserve">Replace with: Gemini Robotics-ER 1.6 is best treated in this book as an embodied reasoning VLM/ER layer unless paired with a VLA/controller that outputs motor 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Open source equals easy deployment.</w:t>
      </w:r>
      <w:r>
        <w:rPr>
          <w:b/>
          <w:bCs/>
        </w:rPr>
        <w:t xml:space="preserve">”</w:t>
      </w:r>
      <w:r>
        <w:br/>
      </w:r>
      <w:r>
        <w:t xml:space="preserve">Replace with: Open source improves reproducibility and adaptation, but deployment still requires robot-specific data, calibration, controllers, and safety validation.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One action representation is universally best.</w:t>
      </w:r>
      <w:r>
        <w:rPr>
          <w:b/>
          <w:bCs/>
        </w:rPr>
        <w:t xml:space="preserve">”</w:t>
      </w:r>
      <w:r>
        <w:br/>
      </w:r>
      <w:r>
        <w:t xml:space="preserve">Replace with: Action representation is a control-boundary design choice.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Safety can be delegated to the model.</w:t>
      </w:r>
      <w:r>
        <w:rPr>
          <w:b/>
          <w:bCs/>
        </w:rPr>
        <w:t xml:space="preserve">”</w:t>
      </w:r>
      <w:r>
        <w:br/>
      </w:r>
      <w:r>
        <w:t xml:space="preserve">Replace with: Safety is a stack property.</w:t>
      </w:r>
    </w:p>
    <w:p>
      <w:r>
        <w:pict>
          <v:rect style="width:0;height:1.5pt" o:hralign="center" o:hrstd="t" o:hr="t"/>
        </w:pict>
      </w:r>
    </w:p>
    <w:bookmarkEnd w:id="78"/>
    <w:bookmarkStart w:id="83" w:name="concepts-to-hand-off-to-later-chapters"/>
    <w:p>
      <w:pPr>
        <w:pStyle w:val="Heading2"/>
      </w:pPr>
      <w:r>
        <w:t xml:space="preserve">9. Concepts to Hand Off to Later Chapters</w:t>
      </w:r>
    </w:p>
    <w:bookmarkStart w:id="79" w:name="Xd2fd2ac2b6cc321b37c3c3e87bc057294a911f6"/>
    <w:p>
      <w:pPr>
        <w:pStyle w:val="Heading3"/>
      </w:pPr>
      <w:r>
        <w:t xml:space="preserve">Hand-off to Chapter 13. Action Representation</w:t>
      </w:r>
    </w:p>
    <w:p>
      <w:pPr>
        <w:pStyle w:val="FirstParagraph"/>
      </w:pPr>
      <w:r>
        <w:t xml:space="preserve">Chapter 1 should introduce but not deeply analyze:</w:t>
      </w:r>
    </w:p>
    <w:p>
      <w:pPr>
        <w:pStyle w:val="Compact"/>
        <w:numPr>
          <w:ilvl w:val="0"/>
          <w:numId w:val="1007"/>
        </w:numPr>
      </w:pPr>
      <w:r>
        <w:t xml:space="preserve">action token</w:t>
      </w:r>
    </w:p>
    <w:p>
      <w:pPr>
        <w:pStyle w:val="Compact"/>
        <w:numPr>
          <w:ilvl w:val="0"/>
          <w:numId w:val="1007"/>
        </w:numPr>
      </w:pPr>
      <w:r>
        <w:t xml:space="preserve">continuous action</w:t>
      </w:r>
    </w:p>
    <w:p>
      <w:pPr>
        <w:pStyle w:val="Compact"/>
        <w:numPr>
          <w:ilvl w:val="0"/>
          <w:numId w:val="1007"/>
        </w:numPr>
      </w:pPr>
      <w:r>
        <w:t xml:space="preserve">waypoint</w:t>
      </w:r>
    </w:p>
    <w:p>
      <w:pPr>
        <w:pStyle w:val="Compact"/>
        <w:numPr>
          <w:ilvl w:val="0"/>
          <w:numId w:val="1007"/>
        </w:numPr>
      </w:pPr>
      <w:r>
        <w:t xml:space="preserve">delta pose</w:t>
      </w:r>
    </w:p>
    <w:p>
      <w:pPr>
        <w:pStyle w:val="Compact"/>
        <w:numPr>
          <w:ilvl w:val="0"/>
          <w:numId w:val="1007"/>
        </w:numPr>
      </w:pPr>
      <w:r>
        <w:t xml:space="preserve">joint position/velocity command</w:t>
      </w:r>
    </w:p>
    <w:p>
      <w:pPr>
        <w:pStyle w:val="Compact"/>
        <w:numPr>
          <w:ilvl w:val="0"/>
          <w:numId w:val="1007"/>
        </w:numPr>
      </w:pPr>
      <w:r>
        <w:t xml:space="preserve">torque command</w:t>
      </w:r>
    </w:p>
    <w:p>
      <w:pPr>
        <w:pStyle w:val="Compact"/>
        <w:numPr>
          <w:ilvl w:val="0"/>
          <w:numId w:val="1007"/>
        </w:numPr>
      </w:pPr>
      <w:r>
        <w:t xml:space="preserve">action chunk</w:t>
      </w:r>
    </w:p>
    <w:p>
      <w:pPr>
        <w:pStyle w:val="Compact"/>
        <w:numPr>
          <w:ilvl w:val="0"/>
          <w:numId w:val="1007"/>
        </w:numPr>
      </w:pPr>
      <w:r>
        <w:t xml:space="preserve">diffusion/flow action distribution</w:t>
      </w:r>
    </w:p>
    <w:p>
      <w:pPr>
        <w:pStyle w:val="Compact"/>
        <w:numPr>
          <w:ilvl w:val="0"/>
          <w:numId w:val="1007"/>
        </w:numPr>
      </w:pPr>
      <w:r>
        <w:t xml:space="preserve">action expert</w:t>
      </w:r>
    </w:p>
    <w:p>
      <w:pPr>
        <w:pStyle w:val="Compact"/>
        <w:numPr>
          <w:ilvl w:val="0"/>
          <w:numId w:val="1007"/>
        </w:numPr>
      </w:pPr>
      <w:r>
        <w:t xml:space="preserve">whole-body action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a_t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u_t</w:t>
      </w:r>
      <w:r>
        <w:t xml:space="preserve"> </w:t>
      </w:r>
      <w:r>
        <w:t xml:space="preserve">notation</w:t>
      </w:r>
    </w:p>
    <w:p>
      <w:pPr>
        <w:pStyle w:val="Compact"/>
        <w:numPr>
          <w:ilvl w:val="0"/>
          <w:numId w:val="1007"/>
        </w:numPr>
      </w:pPr>
      <w:r>
        <w:t xml:space="preserve">control boundary</w:t>
      </w:r>
    </w:p>
    <w:p>
      <w:pPr>
        <w:pStyle w:val="FirstParagraph"/>
      </w:pPr>
      <w:r>
        <w:rPr>
          <w:b/>
          <w:bCs/>
        </w:rPr>
        <w:t xml:space="preserve">Chapter 1 role:</w:t>
      </w:r>
      <w:r>
        <w:t xml:space="preserve"> </w:t>
      </w:r>
      <w:r>
        <w:t xml:space="preserve">define the problem and taxonomy.</w:t>
      </w:r>
      <w:r>
        <w:br/>
      </w:r>
      <w:r>
        <w:rPr>
          <w:b/>
          <w:bCs/>
        </w:rPr>
        <w:t xml:space="preserve">Chapter 13 role:</w:t>
      </w:r>
      <w:r>
        <w:t xml:space="preserve"> </w:t>
      </w:r>
      <w:r>
        <w:t xml:space="preserve">analyze trade-offs, algorithms, architectures, examples, and failure modes.</w:t>
      </w:r>
    </w:p>
    <w:bookmarkEnd w:id="79"/>
    <w:bookmarkStart w:id="80" w:name="hand-off-to-chapter-14.-data-engines"/>
    <w:p>
      <w:pPr>
        <w:pStyle w:val="Heading3"/>
      </w:pPr>
      <w:r>
        <w:t xml:space="preserve">Hand-off to Chapter 14. Data Engines</w:t>
      </w:r>
    </w:p>
    <w:p>
      <w:pPr>
        <w:pStyle w:val="FirstParagraph"/>
      </w:pPr>
      <w:r>
        <w:t xml:space="preserve">Chapter 1 should introduce:</w:t>
      </w:r>
    </w:p>
    <w:p>
      <w:pPr>
        <w:pStyle w:val="Compact"/>
        <w:numPr>
          <w:ilvl w:val="0"/>
          <w:numId w:val="1008"/>
        </w:numPr>
      </w:pPr>
      <w:r>
        <w:t xml:space="preserve">robot data is not web text</w:t>
      </w:r>
    </w:p>
    <w:p>
      <w:pPr>
        <w:pStyle w:val="Compact"/>
        <w:numPr>
          <w:ilvl w:val="0"/>
          <w:numId w:val="1008"/>
        </w:numPr>
      </w:pPr>
      <w:r>
        <w:t xml:space="preserve">embodiment gap</w:t>
      </w:r>
    </w:p>
    <w:p>
      <w:pPr>
        <w:pStyle w:val="Compact"/>
        <w:numPr>
          <w:ilvl w:val="0"/>
          <w:numId w:val="1008"/>
        </w:numPr>
      </w:pPr>
      <w:r>
        <w:t xml:space="preserve">action label mismatch</w:t>
      </w:r>
    </w:p>
    <w:p>
      <w:pPr>
        <w:pStyle w:val="Compact"/>
        <w:numPr>
          <w:ilvl w:val="0"/>
          <w:numId w:val="1008"/>
        </w:numPr>
      </w:pPr>
      <w:r>
        <w:t xml:space="preserve">teleoperation / human video / simulation / synthetic data</w:t>
      </w:r>
    </w:p>
    <w:p>
      <w:pPr>
        <w:pStyle w:val="Compact"/>
        <w:numPr>
          <w:ilvl w:val="0"/>
          <w:numId w:val="1008"/>
        </w:numPr>
      </w:pPr>
      <w:r>
        <w:t xml:space="preserve">data curation and failure data</w:t>
      </w:r>
    </w:p>
    <w:p>
      <w:pPr>
        <w:pStyle w:val="Compact"/>
        <w:numPr>
          <w:ilvl w:val="0"/>
          <w:numId w:val="1008"/>
        </w:numPr>
      </w:pPr>
      <w:r>
        <w:t xml:space="preserve">cross-embodiment normalization</w:t>
      </w:r>
    </w:p>
    <w:p>
      <w:pPr>
        <w:pStyle w:val="FirstParagraph"/>
      </w:pPr>
      <w:r>
        <w:rPr>
          <w:b/>
          <w:bCs/>
        </w:rPr>
        <w:t xml:space="preserve">Chapter 1 role:</w:t>
      </w:r>
      <w:r>
        <w:t xml:space="preserve"> </w:t>
      </w:r>
      <w:r>
        <w:t xml:space="preserve">explain why data engine is part of the system.</w:t>
      </w:r>
      <w:r>
        <w:br/>
      </w:r>
      <w:r>
        <w:rPr>
          <w:b/>
          <w:bCs/>
        </w:rPr>
        <w:t xml:space="preserve">Chapter 14 role:</w:t>
      </w:r>
      <w:r>
        <w:t xml:space="preserve"> </w:t>
      </w:r>
      <w:r>
        <w:t xml:space="preserve">detail collection, normalization, curation, scaling, relabeling, and fine-tuning datasets.</w:t>
      </w:r>
    </w:p>
    <w:bookmarkEnd w:id="80"/>
    <w:bookmarkStart w:id="81" w:name="X3ab93cad0a160e2830a54590a46e62b88868363"/>
    <w:p>
      <w:pPr>
        <w:pStyle w:val="Heading3"/>
      </w:pPr>
      <w:r>
        <w:t xml:space="preserve">Hand-off to Chapter 16. Evaluation and Benchmarking</w:t>
      </w:r>
    </w:p>
    <w:p>
      <w:pPr>
        <w:pStyle w:val="FirstParagraph"/>
      </w:pPr>
      <w:r>
        <w:t xml:space="preserve">Chapter 1 should introduce:</w:t>
      </w:r>
    </w:p>
    <w:p>
      <w:pPr>
        <w:pStyle w:val="Compact"/>
        <w:numPr>
          <w:ilvl w:val="0"/>
          <w:numId w:val="1009"/>
        </w:numPr>
      </w:pPr>
      <w:r>
        <w:t xml:space="preserve">task success vs real capability</w:t>
      </w:r>
    </w:p>
    <w:p>
      <w:pPr>
        <w:pStyle w:val="Compact"/>
        <w:numPr>
          <w:ilvl w:val="0"/>
          <w:numId w:val="1009"/>
        </w:numPr>
      </w:pPr>
      <w:r>
        <w:t xml:space="preserve">benchmark artifacts</w:t>
      </w:r>
    </w:p>
    <w:p>
      <w:pPr>
        <w:pStyle w:val="Compact"/>
        <w:numPr>
          <w:ilvl w:val="0"/>
          <w:numId w:val="1009"/>
        </w:numPr>
      </w:pPr>
      <w:r>
        <w:t xml:space="preserve">protocol reproducibility</w:t>
      </w:r>
    </w:p>
    <w:p>
      <w:pPr>
        <w:pStyle w:val="Compact"/>
        <w:numPr>
          <w:ilvl w:val="0"/>
          <w:numId w:val="1009"/>
        </w:numPr>
      </w:pPr>
      <w:r>
        <w:t xml:space="preserve">distribution shift</w:t>
      </w:r>
    </w:p>
    <w:p>
      <w:pPr>
        <w:pStyle w:val="Compact"/>
        <w:numPr>
          <w:ilvl w:val="0"/>
          <w:numId w:val="1009"/>
        </w:numPr>
      </w:pPr>
      <w:r>
        <w:t xml:space="preserve">timing/latency metrics</w:t>
      </w:r>
    </w:p>
    <w:p>
      <w:pPr>
        <w:pStyle w:val="Compact"/>
        <w:numPr>
          <w:ilvl w:val="0"/>
          <w:numId w:val="1009"/>
        </w:numPr>
      </w:pPr>
      <w:r>
        <w:t xml:space="preserve">failure recovery</w:t>
      </w:r>
    </w:p>
    <w:p>
      <w:pPr>
        <w:pStyle w:val="Compact"/>
        <w:numPr>
          <w:ilvl w:val="0"/>
          <w:numId w:val="1009"/>
        </w:numPr>
      </w:pPr>
      <w:r>
        <w:t xml:space="preserve">simulation vs real-robot evaluation</w:t>
      </w:r>
    </w:p>
    <w:p>
      <w:pPr>
        <w:pStyle w:val="FirstParagraph"/>
      </w:pPr>
      <w:r>
        <w:rPr>
          <w:b/>
          <w:bCs/>
        </w:rPr>
        <w:t xml:space="preserve">Chapter 1 role:</w:t>
      </w:r>
      <w:r>
        <w:t xml:space="preserve"> </w:t>
      </w:r>
      <w:r>
        <w:t xml:space="preserve">warn that benchmark score is not capability.</w:t>
      </w:r>
      <w:r>
        <w:br/>
      </w:r>
      <w:r>
        <w:rPr>
          <w:b/>
          <w:bCs/>
        </w:rPr>
        <w:t xml:space="preserve">Chapter 16 role:</w:t>
      </w:r>
      <w:r>
        <w:t xml:space="preserve"> </w:t>
      </w:r>
      <w:r>
        <w:t xml:space="preserve">build evaluation protocol and benchmark taxonomy.</w:t>
      </w:r>
    </w:p>
    <w:bookmarkEnd w:id="81"/>
    <w:bookmarkStart w:id="82" w:name="Xecb041eec0da2375d352eb3efa3033183ba07d9"/>
    <w:p>
      <w:pPr>
        <w:pStyle w:val="Heading3"/>
      </w:pPr>
      <w:r>
        <w:t xml:space="preserve">Hand-off to Chapter 19. Safety and Assurance</w:t>
      </w:r>
    </w:p>
    <w:p>
      <w:pPr>
        <w:pStyle w:val="FirstParagraph"/>
      </w:pPr>
      <w:r>
        <w:t xml:space="preserve">Chapter 1 should introduce:</w:t>
      </w:r>
    </w:p>
    <w:p>
      <w:pPr>
        <w:pStyle w:val="Compact"/>
        <w:numPr>
          <w:ilvl w:val="0"/>
          <w:numId w:val="1010"/>
        </w:numPr>
      </w:pPr>
      <w:r>
        <w:t xml:space="preserve">semantic safety</w:t>
      </w:r>
    </w:p>
    <w:p>
      <w:pPr>
        <w:pStyle w:val="Compact"/>
        <w:numPr>
          <w:ilvl w:val="0"/>
          <w:numId w:val="1010"/>
        </w:numPr>
      </w:pPr>
      <w:r>
        <w:t xml:space="preserve">geometric safety</w:t>
      </w:r>
    </w:p>
    <w:p>
      <w:pPr>
        <w:pStyle w:val="Compact"/>
        <w:numPr>
          <w:ilvl w:val="0"/>
          <w:numId w:val="1010"/>
        </w:numPr>
      </w:pPr>
      <w:r>
        <w:t xml:space="preserve">dynamic/contact safety</w:t>
      </w:r>
    </w:p>
    <w:p>
      <w:pPr>
        <w:pStyle w:val="Compact"/>
        <w:numPr>
          <w:ilvl w:val="0"/>
          <w:numId w:val="1010"/>
        </w:numPr>
      </w:pPr>
      <w:r>
        <w:t xml:space="preserve">runtime monitor</w:t>
      </w:r>
    </w:p>
    <w:p>
      <w:pPr>
        <w:pStyle w:val="Compact"/>
        <w:numPr>
          <w:ilvl w:val="0"/>
          <w:numId w:val="1010"/>
        </w:numPr>
      </w:pPr>
      <w:r>
        <w:t xml:space="preserve">safety shield</w:t>
      </w:r>
    </w:p>
    <w:p>
      <w:pPr>
        <w:pStyle w:val="Compact"/>
        <w:numPr>
          <w:ilvl w:val="0"/>
          <w:numId w:val="1010"/>
        </w:numPr>
      </w:pPr>
      <w:r>
        <w:t xml:space="preserve">human override</w:t>
      </w:r>
    </w:p>
    <w:p>
      <w:pPr>
        <w:pStyle w:val="Compact"/>
        <w:numPr>
          <w:ilvl w:val="0"/>
          <w:numId w:val="1010"/>
        </w:numPr>
      </w:pPr>
      <w:r>
        <w:t xml:space="preserve">unsafe data and unsafe generalization</w:t>
      </w:r>
    </w:p>
    <w:p>
      <w:pPr>
        <w:pStyle w:val="FirstParagraph"/>
      </w:pPr>
      <w:r>
        <w:rPr>
          <w:b/>
          <w:bCs/>
        </w:rPr>
        <w:t xml:space="preserve">Chapter 1 role:</w:t>
      </w:r>
      <w:r>
        <w:t xml:space="preserve"> </w:t>
      </w:r>
      <w:r>
        <w:t xml:space="preserve">define safety as a stack property.</w:t>
      </w:r>
      <w:r>
        <w:br/>
      </w:r>
      <w:r>
        <w:rPr>
          <w:b/>
          <w:bCs/>
        </w:rPr>
        <w:t xml:space="preserve">Chapter 19 role:</w:t>
      </w:r>
      <w:r>
        <w:t xml:space="preserve"> </w:t>
      </w:r>
      <w:r>
        <w:t xml:space="preserve">formalize safety layers, benchmarks, monitors, assurance methods, and deployment procedures.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claim-to-handoff-matrix"/>
    <w:p>
      <w:pPr>
        <w:pStyle w:val="Heading2"/>
      </w:pPr>
      <w:r>
        <w:t xml:space="preserve">10. Claim-to-Handoff Matrix</w:t>
      </w:r>
    </w:p>
    <w:p>
      <w:pPr>
        <w:pStyle w:val="FirstParagraph"/>
      </w:pPr>
      <w:r>
        <w:t xml:space="preserve">이 matrix는 Word 렌더링 안정성을 위해 넓은 표가 아니라 claim별 bullet 형식으로 둔다.</w:t>
      </w:r>
    </w:p>
    <w:bookmarkStart w:id="84" w:name="claim-1"/>
    <w:p>
      <w:pPr>
        <w:pStyle w:val="Heading3"/>
      </w:pPr>
      <w:r>
        <w:t xml:space="preserve">Claim 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Real VLA system vs VLA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Ch13, Ch17, Ch19.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Detailed model architecture.</w:t>
      </w:r>
    </w:p>
    <w:bookmarkEnd w:id="84"/>
    <w:bookmarkStart w:id="85" w:name="claim-2"/>
    <w:p>
      <w:pPr>
        <w:pStyle w:val="Heading3"/>
      </w:pPr>
      <w:r>
        <w:t xml:space="preserve">Claim 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Observation/state/proprioception distinction.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Ch2, Ch13.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Full filtering/control derivation.</w:t>
      </w:r>
    </w:p>
    <w:bookmarkEnd w:id="85"/>
    <w:bookmarkStart w:id="86" w:name="claim-3"/>
    <w:p>
      <w:pPr>
        <w:pStyle w:val="Heading3"/>
      </w:pPr>
      <w:r>
        <w:t xml:space="preserve">Claim 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Action/control boundary.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Full action taxonomy and equations.</w:t>
      </w:r>
    </w:p>
    <w:bookmarkEnd w:id="86"/>
    <w:bookmarkStart w:id="87" w:name="claim-4"/>
    <w:p>
      <w:pPr>
        <w:pStyle w:val="Heading3"/>
      </w:pPr>
      <w:r>
        <w:t xml:space="preserve">Claim 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Planning/TAMP still matters.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Ch5, Ch17.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Full PDDL/TAMP algorithms.</w:t>
      </w:r>
    </w:p>
    <w:bookmarkEnd w:id="87"/>
    <w:bookmarkStart w:id="88" w:name="claim-5"/>
    <w:p>
      <w:pPr>
        <w:pStyle w:val="Heading3"/>
      </w:pPr>
      <w:r>
        <w:t xml:space="preserve">Claim 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VLM/LLM bridge and affordance grounding.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Ch10, Ch11.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Full VLM history.</w:t>
      </w:r>
    </w:p>
    <w:bookmarkEnd w:id="88"/>
    <w:bookmarkStart w:id="89" w:name="claim-6"/>
    <w:p>
      <w:pPr>
        <w:pStyle w:val="Heading3"/>
      </w:pPr>
      <w:r>
        <w:t xml:space="preserve">Claim 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Data engine is a system layer.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Ch14, Ch15.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Dataset-by-dataset survey.</w:t>
      </w:r>
    </w:p>
    <w:bookmarkEnd w:id="89"/>
    <w:bookmarkStart w:id="90" w:name="claim-7"/>
    <w:p>
      <w:pPr>
        <w:pStyle w:val="Heading3"/>
      </w:pPr>
      <w:r>
        <w:t xml:space="preserve">Claim 7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Action representation is central.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Ch13, Ch18, Ch20.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Detailed diffusion/flow/action-chunk derivation.</w:t>
      </w:r>
    </w:p>
    <w:bookmarkEnd w:id="90"/>
    <w:bookmarkStart w:id="91" w:name="claim-8"/>
    <w:p>
      <w:pPr>
        <w:pStyle w:val="Heading3"/>
      </w:pPr>
      <w:r>
        <w:t xml:space="preserve">Claim 8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Evaluation must be stress-tested.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Ch16.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Full benchmark catalog.</w:t>
      </w:r>
    </w:p>
    <w:bookmarkEnd w:id="91"/>
    <w:bookmarkStart w:id="92" w:name="claim-9"/>
    <w:p>
      <w:pPr>
        <w:pStyle w:val="Heading3"/>
      </w:pPr>
      <w:r>
        <w:t xml:space="preserve">Claim 9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Safety is a stack property.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Ch19.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Formal safety/standards treatment.</w:t>
      </w:r>
    </w:p>
    <w:bookmarkEnd w:id="92"/>
    <w:bookmarkStart w:id="93" w:name="claim-10"/>
    <w:p>
      <w:pPr>
        <w:pStyle w:val="Heading3"/>
      </w:pPr>
      <w:r>
        <w:t xml:space="preserve">Claim 10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 locked in Ch1:</w:t>
      </w:r>
      <w:r>
        <w:t xml:space="preserve"> </w:t>
      </w:r>
      <w:r>
        <w:t xml:space="preserve">Latest ER/humanoid systems are case studies.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Main handoff chapter:</w:t>
      </w:r>
      <w:r>
        <w:t xml:space="preserve"> </w:t>
      </w:r>
      <w:r>
        <w:t xml:space="preserve">Ch17, Ch18, Ch20.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Ch1 should not over-explain:</w:t>
      </w:r>
      <w:r>
        <w:t xml:space="preserve"> </w:t>
      </w:r>
      <w:r>
        <w:t xml:space="preserve">Company-by-company technical analysis.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chapter-1-evidence-placement-plan"/>
    <w:p>
      <w:pPr>
        <w:pStyle w:val="Heading2"/>
      </w:pPr>
      <w:r>
        <w:t xml:space="preserve">11. Chapter 1 Evidence Placement Plan</w:t>
      </w:r>
    </w:p>
    <w:bookmarkStart w:id="95" w:name="section-1.1-evidence-placement"/>
    <w:p>
      <w:pPr>
        <w:pStyle w:val="Heading3"/>
      </w:pPr>
      <w:r>
        <w:t xml:space="preserve">Section 1.1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1, Claim 5.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B18, B19, B20, B22, D1, D2.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Start with a realistic task, not a paper chronology. Then define why</w:t>
      </w:r>
      <w:r>
        <w:t xml:space="preserve"> </w:t>
      </w:r>
      <w:r>
        <w:t xml:space="preserve">“</w:t>
      </w:r>
      <w:r>
        <w:t xml:space="preserve">image + language -&gt; action</w:t>
      </w:r>
      <w:r>
        <w:t xml:space="preserve">”</w:t>
      </w:r>
      <w:r>
        <w:t xml:space="preserve"> </w:t>
      </w:r>
      <w:r>
        <w:t xml:space="preserve">is an incomplete abstraction.</w:t>
      </w:r>
    </w:p>
    <w:bookmarkEnd w:id="95"/>
    <w:bookmarkStart w:id="96" w:name="section-1.2-evidence-placement"/>
    <w:p>
      <w:pPr>
        <w:pStyle w:val="Heading3"/>
      </w:pPr>
      <w:r>
        <w:t xml:space="preserve">Section 1.2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1, Claim 4, Claim 9.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A1-A7, B3-B6, B10, B18, D1-D3.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Present the Real VLA stack figure.</w:t>
      </w:r>
    </w:p>
    <w:bookmarkEnd w:id="96"/>
    <w:bookmarkStart w:id="97" w:name="section-1.3-evidence-placement"/>
    <w:p>
      <w:pPr>
        <w:pStyle w:val="Heading3"/>
      </w:pPr>
      <w:r>
        <w:t xml:space="preserve">Section 1.3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2, Claim 3, Claim 7.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B1, B3-B6, B14, B22, C1, C3, C4.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 </w:t>
      </w:r>
      <w:r>
        <w:t xml:space="preserve">without deriving all equations.</w:t>
      </w:r>
    </w:p>
    <w:bookmarkEnd w:id="97"/>
    <w:bookmarkStart w:id="98" w:name="section-1.4-evidence-placement"/>
    <w:p>
      <w:pPr>
        <w:pStyle w:val="Heading3"/>
      </w:pPr>
      <w:r>
        <w:t xml:space="preserve">Section 1.4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4, Claim 5.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A5-A6, B7-B10, B15-B20, B21-B22.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Show historical convergence map.</w:t>
      </w:r>
    </w:p>
    <w:bookmarkEnd w:id="98"/>
    <w:bookmarkStart w:id="99" w:name="section-1.5-evidence-placement"/>
    <w:p>
      <w:pPr>
        <w:pStyle w:val="Heading3"/>
      </w:pPr>
      <w:r>
        <w:t xml:space="preserve">Section 1.5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7, Claim 10.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B21-B24, C1-C5, D1-D6.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Compare system patterns, not model leaderboards.</w:t>
      </w:r>
    </w:p>
    <w:bookmarkEnd w:id="99"/>
    <w:bookmarkStart w:id="100" w:name="section-1.6-evidence-placement"/>
    <w:p>
      <w:pPr>
        <w:pStyle w:val="Heading3"/>
      </w:pPr>
      <w:r>
        <w:t xml:space="preserve">Section 1.6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Claim 6, Claim 8, Claim 9.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B23-B26, C5-C9, D1-D5.</w:t>
      </w:r>
      <w:r>
        <w:br/>
      </w:r>
      <w:r>
        <w:rPr>
          <w:b/>
          <w:bCs/>
        </w:rPr>
        <w:t xml:space="preserve">Opening move:</w:t>
      </w:r>
      <w:r>
        <w:t xml:space="preserve"> </w:t>
      </w:r>
      <w:r>
        <w:t xml:space="preserve">State that failure analysis is not pessimism; it is the robotics definition of competence.</w:t>
      </w:r>
    </w:p>
    <w:bookmarkEnd w:id="100"/>
    <w:bookmarkStart w:id="101" w:name="section-1.7-evidence-placement"/>
    <w:p>
      <w:pPr>
        <w:pStyle w:val="Heading3"/>
      </w:pPr>
      <w:r>
        <w:t xml:space="preserve">Section 1.7 Evidence Placement</w:t>
      </w:r>
    </w:p>
    <w:p>
      <w:pPr>
        <w:pStyle w:val="FirstParagraph"/>
      </w:pPr>
      <w:r>
        <w:rPr>
          <w:b/>
          <w:bCs/>
        </w:rPr>
        <w:t xml:space="preserve">Core claims:</w:t>
      </w:r>
      <w:r>
        <w:t xml:space="preserve"> </w:t>
      </w:r>
      <w:r>
        <w:t xml:space="preserve">all.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Use no new sources unless necessary. Summarize locked concepts and handoffs.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freshness-notes-for-latest-systems"/>
    <w:p>
      <w:pPr>
        <w:pStyle w:val="Heading2"/>
      </w:pPr>
      <w:r>
        <w:t xml:space="preserve">12. Freshness Notes for Latest Systems</w:t>
      </w:r>
    </w:p>
    <w:p>
      <w:pPr>
        <w:pStyle w:val="FirstParagraph"/>
      </w:pPr>
      <w:r>
        <w:t xml:space="preserve">These notes are for Ch1 writing discipline. They should not be expanded into detailed company-system analysis in Chapter 1.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Gemini Robotics-ER 1.6:</w:t>
      </w:r>
      <w:r>
        <w:t xml:space="preserve"> </w:t>
      </w:r>
      <w:r>
        <w:t xml:space="preserve">Treat as an embodied reasoning VLM/ER model, not as the lower-level action policy by default. Official docs describe it as a VLM for advanced physical-world reasoning, spatial reasoning, and planning actions from natural-language commands.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Gemini Robotics 1.5:</w:t>
      </w:r>
      <w:r>
        <w:t xml:space="preserve"> </w:t>
      </w:r>
      <w:r>
        <w:t xml:space="preserve">Treat as a VLA case study. Official Google DeepMind page presents it as a VLA model that turns visual information and instructions into motor commands.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GR00T N1.7:</w:t>
      </w:r>
      <w:r>
        <w:t xml:space="preserve"> </w:t>
      </w:r>
      <w:r>
        <w:t xml:space="preserve">Treat as Early Access humanoid/generalist robotics stack. The GitHub page emphasizes pretrained weights, reference code, and fine-tuning/inference support; do not treat it as fully benchmarked public science.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Figure Helix / Helix 02:</w:t>
      </w:r>
      <w:r>
        <w:t xml:space="preserve"> </w:t>
      </w:r>
      <w:r>
        <w:t xml:space="preserve">Treat as company case study. Use it to motivate whole-body autonomy and humanoid deployment, not as a peer-reviewed reference.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VLA Foundry:</w:t>
      </w:r>
      <w:r>
        <w:t xml:space="preserve"> </w:t>
      </w:r>
      <w:r>
        <w:t xml:space="preserve">Treat as an emerging open-source training stack and engineering framework.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vla-eval, BeTTER, ASIMOV v2:</w:t>
      </w:r>
      <w:r>
        <w:t xml:space="preserve"> </w:t>
      </w:r>
      <w:r>
        <w:t xml:space="preserve">Treat as evidence that evaluation/safety is now an active research frontier, not as final arbitration of capability.</w:t>
      </w:r>
    </w:p>
    <w:p>
      <w:r>
        <w:pict>
          <v:rect style="width:0;height:1.5pt" o:hralign="center" o:hrstd="t" o:hr="t"/>
        </w:pict>
      </w:r>
    </w:p>
    <w:bookmarkEnd w:id="103"/>
    <w:bookmarkStart w:id="104" w:name="open-issues-before-drafting-chapter-1"/>
    <w:p>
      <w:pPr>
        <w:pStyle w:val="Heading2"/>
      </w:pPr>
      <w:r>
        <w:t xml:space="preserve">13. Open Issues Before Drafting Chapter 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 broad should the term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Real VLA System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be?</w:t>
      </w:r>
      <w:r>
        <w:br/>
      </w:r>
      <w:r>
        <w:t xml:space="preserve">Current decision: VLA policy + embodied reasoning + motion/control + safety + data/evaluation stack.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 should Gemini Robotics-ER be classified?</w:t>
      </w:r>
      <w:r>
        <w:br/>
      </w:r>
      <w:r>
        <w:t xml:space="preserve">Current decision: ER/VLM layer, not VLA policy layer unless paired with motor-command generation.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 much should Ch1 discuss humanoids?</w:t>
      </w:r>
      <w:r>
        <w:br/>
      </w:r>
      <w:r>
        <w:t xml:space="preserve">Current decision: only as a deployment frontier and case study. Detailed treatment goes to Ch20.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Should Ch1 contain equations?</w:t>
      </w:r>
      <w:r>
        <w:br/>
      </w:r>
      <w:r>
        <w:t xml:space="preserve">Current decision: only minimal notation</w:t>
      </w:r>
      <w:r>
        <w:t xml:space="preserve"> </w:t>
      </w: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. Derivations go to later chapters.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Should Ch1 cite company blogs?</w:t>
      </w:r>
      <w:r>
        <w:br/>
      </w:r>
      <w:r>
        <w:t xml:space="preserve">Current decision: yes, but only as Tier D system examples with explicit caution.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Should Ch1 mention ASIMOV/vla-eval/BeTTER?</w:t>
      </w:r>
      <w:r>
        <w:br/>
      </w:r>
      <w:r>
        <w:t xml:space="preserve">Current decision: yes, as examples showing why evaluation/safety cannot be postponed to deployment.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Should Ch1 include exhaustive VLA model list?</w:t>
      </w:r>
      <w:r>
        <w:br/>
      </w:r>
      <w:r>
        <w:t xml:space="preserve">Current decision: no. Use representative models only. Detailed model taxonomy comes later.</w:t>
      </w:r>
    </w:p>
    <w:p>
      <w:r>
        <w:pict>
          <v:rect style="width:0;height:1.5pt" o:hralign="center" o:hrstd="t" o:hr="t"/>
        </w:pict>
      </w:r>
    </w:p>
    <w:bookmarkEnd w:id="104"/>
    <w:bookmarkStart w:id="105" w:name="X85a0bfdacd2e26311302d21598b7113ecafe873"/>
    <w:p>
      <w:pPr>
        <w:pStyle w:val="Heading2"/>
      </w:pPr>
      <w:r>
        <w:t xml:space="preserve">14. Next-Step Prompt: Chapter 1 Detailed Outline</w:t>
      </w:r>
    </w:p>
    <w:p>
      <w:pPr>
        <w:pStyle w:val="FirstParagraph"/>
      </w:pPr>
      <w:r>
        <w:t xml:space="preserve">Use the following prompt after approving this Evidence Map.</w:t>
      </w:r>
    </w:p>
    <w:p>
      <w:pPr>
        <w:pStyle w:val="SourceCode"/>
      </w:pPr>
      <w:r>
        <w:rPr>
          <w:rStyle w:val="VerbatimChar"/>
        </w:rPr>
        <w:t xml:space="preserve">Book Bible v0.1, Wave 1 Chapter Contracts v0.1, Interface Specification + Global Glossary v0.1, and Chapter 1 Evidence Map v0.1을 기준으로 Chapter 1. "What Is a Real VLA System?"의 Detailed Outline을 작성해줘.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본문 원고 작성 직전 단계로, section/subsection 단위의 논증 흐름, 각 subsection의 핵심 문장, 사용할 evidence source ID, figure/table placement, bridge sentence를 고정하는 것.</w:t>
      </w:r>
      <w:r>
        <w:br/>
      </w:r>
      <w:r>
        <w:br/>
      </w: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본문 원고는 아직 쓰지 마.</w:t>
      </w:r>
      <w:r>
        <w:br/>
      </w:r>
      <w:r>
        <w:rPr>
          <w:rStyle w:val="VerbatimChar"/>
        </w:rPr>
        <w:t xml:space="preserve">- 단순 목차가 아니라 argument outline으로 작성해.</w:t>
      </w:r>
      <w:r>
        <w:br/>
      </w:r>
      <w:r>
        <w:rPr>
          <w:rStyle w:val="VerbatimChar"/>
        </w:rPr>
        <w:t xml:space="preserve">- 각 section마다 다음을 포함해:</w:t>
      </w:r>
      <w:r>
        <w:br/>
      </w:r>
      <w:r>
        <w:rPr>
          <w:rStyle w:val="VerbatimChar"/>
        </w:rPr>
        <w:t xml:space="preserve">  1. Section goal</w:t>
      </w:r>
      <w:r>
        <w:br/>
      </w:r>
      <w:r>
        <w:rPr>
          <w:rStyle w:val="VerbatimChar"/>
        </w:rPr>
        <w:t xml:space="preserve">  2. Core claim</w:t>
      </w:r>
      <w:r>
        <w:br/>
      </w:r>
      <w:r>
        <w:rPr>
          <w:rStyle w:val="VerbatimChar"/>
        </w:rPr>
        <w:t xml:space="preserve">  3. Subsection structure</w:t>
      </w:r>
      <w:r>
        <w:br/>
      </w:r>
      <w:r>
        <w:rPr>
          <w:rStyle w:val="VerbatimChar"/>
        </w:rPr>
        <w:t xml:space="preserve">  4. Evidence source IDs</w:t>
      </w:r>
      <w:r>
        <w:br/>
      </w:r>
      <w:r>
        <w:rPr>
          <w:rStyle w:val="VerbatimChar"/>
        </w:rPr>
        <w:t xml:space="preserve">  5. Figure/table placement</w:t>
      </w:r>
      <w:r>
        <w:br/>
      </w:r>
      <w:r>
        <w:rPr>
          <w:rStyle w:val="VerbatimChar"/>
        </w:rPr>
        <w:t xml:space="preserve">  6. Definitions introduced</w:t>
      </w:r>
      <w:r>
        <w:br/>
      </w:r>
      <w:r>
        <w:rPr>
          <w:rStyle w:val="VerbatimChar"/>
        </w:rPr>
        <w:t xml:space="preserve">  7. Concepts deferred to later chapters</w:t>
      </w:r>
      <w:r>
        <w:br/>
      </w:r>
      <w:r>
        <w:rPr>
          <w:rStyle w:val="VerbatimChar"/>
        </w:rPr>
        <w:t xml:space="preserve">  8. Failure mode or caution</w:t>
      </w:r>
      <w:r>
        <w:br/>
      </w:r>
      <w:r>
        <w:rPr>
          <w:rStyle w:val="VerbatimChar"/>
        </w:rPr>
        <w:t xml:space="preserve">  9. Section closing bridge</w:t>
      </w:r>
      <w:r>
        <w:br/>
      </w:r>
      <w:r>
        <w:rPr>
          <w:rStyle w:val="VerbatimChar"/>
        </w:rPr>
        <w:t xml:space="preserve">- Ch1 전체의 opening example을 1개 선택하고, 왜 그것이 최적인지 설명해.</w:t>
      </w:r>
      <w:r>
        <w:br/>
      </w:r>
      <w:r>
        <w:rPr>
          <w:rStyle w:val="VerbatimChar"/>
        </w:rPr>
        <w:t xml:space="preserve">- 마지막에는 Section 1.1 본문 작성을 위한 prompt를 제안해.</w:t>
      </w:r>
      <w:r>
        <w:br/>
      </w:r>
      <w:r>
        <w:rPr>
          <w:rStyle w:val="VerbatimChar"/>
        </w:rPr>
        <w:t xml:space="preserve">출력은 md와 docx 둘 다 만들어줘.</w:t>
      </w:r>
    </w:p>
    <w:p>
      <w:r>
        <w:pict>
          <v:rect style="width:0;height:1.5pt" o:hralign="center" o:hrstd="t" o:hr="t"/>
        </w:pict>
      </w:r>
    </w:p>
    <w:bookmarkEnd w:id="105"/>
    <w:bookmarkStart w:id="106" w:name="X0a5b53d70e7128c2ebfe47ce91aaaf3c51f3b55"/>
    <w:p>
      <w:pPr>
        <w:pStyle w:val="Heading2"/>
      </w:pPr>
      <w:r>
        <w:t xml:space="preserve">15. Compact Reminder for Future Writing Turns</w:t>
      </w:r>
    </w:p>
    <w:p>
      <w:pPr>
        <w:pStyle w:val="SourceCode"/>
      </w:pPr>
      <w:r>
        <w:rPr>
          <w:rStyle w:val="VerbatimChar"/>
        </w:rPr>
        <w:t xml:space="preserve">Chapter 1 should define Real VLA as a system interface, not introduce every VLA paper.</w:t>
      </w:r>
      <w:r>
        <w:br/>
      </w:r>
      <w:r>
        <w:rPr>
          <w:rStyle w:val="VerbatimChar"/>
        </w:rPr>
        <w:t xml:space="preserve">It must lock the stack, the action/control boundary, the data/evaluation/safety layers, and the handoff to Ch13/Ch14/Ch16/Ch19.</w:t>
      </w:r>
      <w:r>
        <w:br/>
      </w:r>
      <w:r>
        <w:rPr>
          <w:rStyle w:val="VerbatimChar"/>
        </w:rPr>
        <w:t xml:space="preserve">Do not write a survey. Write the definition layer of the book.</w:t>
      </w:r>
    </w:p>
    <w:bookmarkEnd w:id="106"/>
    <w:bookmarkEnd w:id="107"/>
    <w:sectPr w:rsidR="00FC693F" w:rsidRPr="0006063C" w:rsidSect="00034616">
      <w:pgSz w:h="15840" w:w="12240"/>
      <w:pgMar w:bottom="1080" w:footer="720" w:gutter="0" w:header="720" w:left="1080" w:right="108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KR" w:asciiTheme="majorHAnsi" w:cstheme="majorBidi" w:eastAsia="Noto Sans CJK KR" w:eastAsiaTheme="majorEastAsia" w:hAnsi="Noto Sans CJK KR" w:hAnsiTheme="majorHAnsi"/>
      <w:b/>
      <w:bCs/>
      <w:i/>
      <w:iCs/>
      <w:color w:themeColor="accent1" w:val="4F81B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KR" w:asciiTheme="majorHAnsi" w:cstheme="majorBidi" w:eastAsia="Noto Sans CJK KR" w:eastAsiaTheme="majorEastAsia" w:hAnsi="Noto Sans CJK KR" w:hAnsiTheme="majorHAnsi"/>
      <w:b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eastAsia="Noto Sans CJK KR" w:hAnsi="Noto Sans CJK KR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i.google.dev/gemini-api/docs/models/gemini-robotics-er-1.6-preview" TargetMode="External" /><Relationship Type="http://schemas.openxmlformats.org/officeDocument/2006/relationships/hyperlink" Id="rId25" Target="https://arxiv.org/abs/2410.24164" TargetMode="External" /><Relationship Type="http://schemas.openxmlformats.org/officeDocument/2006/relationships/hyperlink" Id="rId27" Target="https://arxiv.org/abs/2501.09747" TargetMode="External" /><Relationship Type="http://schemas.openxmlformats.org/officeDocument/2006/relationships/hyperlink" Id="rId26" Target="https://arxiv.org/abs/2504.16054" TargetMode="External" /><Relationship Type="http://schemas.openxmlformats.org/officeDocument/2006/relationships/hyperlink" Id="rId31" Target="https://arxiv.org/abs/2603.13966" TargetMode="External" /><Relationship Type="http://schemas.openxmlformats.org/officeDocument/2006/relationships/hyperlink" Id="rId32" Target="https://arxiv.org/abs/2604.18000" TargetMode="External" /><Relationship Type="http://schemas.openxmlformats.org/officeDocument/2006/relationships/hyperlink" Id="rId30" Target="https://arxiv.org/abs/2604.19728" TargetMode="External" /><Relationship Type="http://schemas.openxmlformats.org/officeDocument/2006/relationships/hyperlink" Id="rId34" Target="https://arxiv.org/html/2604.23775v1" TargetMode="External" /><Relationship Type="http://schemas.openxmlformats.org/officeDocument/2006/relationships/hyperlink" Id="rId33" Target="https://asimov-benchmark.github.io/v2/" TargetMode="External" /><Relationship Type="http://schemas.openxmlformats.org/officeDocument/2006/relationships/hyperlink" Id="rId38" Target="https://deepmind.google/models/gemini-robotics/gemini-robotics/" TargetMode="External" /><Relationship Type="http://schemas.openxmlformats.org/officeDocument/2006/relationships/hyperlink" Id="rId40" Target="https://forums.developer.nvidia.com/t/early-access-isaac-gr00t-n1-7-open-reasoning-vla-model-for-humanoid-robotics/366916" TargetMode="External" /><Relationship Type="http://schemas.openxmlformats.org/officeDocument/2006/relationships/hyperlink" Id="rId39" Target="https://github.com/NVIDIA/Isaac-GR00T" TargetMode="External" /><Relationship Type="http://schemas.openxmlformats.org/officeDocument/2006/relationships/hyperlink" Id="rId35" Target="https://github.com/Physical-Intelligence/openpi" TargetMode="External" /><Relationship Type="http://schemas.openxmlformats.org/officeDocument/2006/relationships/hyperlink" Id="rId29" Target="https://github.com/moojink/openvla-oft" TargetMode="External" /><Relationship Type="http://schemas.openxmlformats.org/officeDocument/2006/relationships/hyperlink" Id="rId43" Target="https://github.com/openvla/openvla" TargetMode="External" /><Relationship Type="http://schemas.openxmlformats.org/officeDocument/2006/relationships/hyperlink" Id="rId28" Target="https://openvla-oft.github.io/" TargetMode="External" /><Relationship Type="http://schemas.openxmlformats.org/officeDocument/2006/relationships/hyperlink" Id="rId41" Target="https://www.figure.ai/helix" TargetMode="External" /><Relationship Type="http://schemas.openxmlformats.org/officeDocument/2006/relationships/hyperlink" Id="rId42" Target="https://www.figure.ai/news/helix-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i.google.dev/gemini-api/docs/models/gemini-robotics-er-1.6-preview" TargetMode="External" /><Relationship Type="http://schemas.openxmlformats.org/officeDocument/2006/relationships/hyperlink" Id="rId25" Target="https://arxiv.org/abs/2410.24164" TargetMode="External" /><Relationship Type="http://schemas.openxmlformats.org/officeDocument/2006/relationships/hyperlink" Id="rId27" Target="https://arxiv.org/abs/2501.09747" TargetMode="External" /><Relationship Type="http://schemas.openxmlformats.org/officeDocument/2006/relationships/hyperlink" Id="rId26" Target="https://arxiv.org/abs/2504.16054" TargetMode="External" /><Relationship Type="http://schemas.openxmlformats.org/officeDocument/2006/relationships/hyperlink" Id="rId31" Target="https://arxiv.org/abs/2603.13966" TargetMode="External" /><Relationship Type="http://schemas.openxmlformats.org/officeDocument/2006/relationships/hyperlink" Id="rId32" Target="https://arxiv.org/abs/2604.18000" TargetMode="External" /><Relationship Type="http://schemas.openxmlformats.org/officeDocument/2006/relationships/hyperlink" Id="rId30" Target="https://arxiv.org/abs/2604.19728" TargetMode="External" /><Relationship Type="http://schemas.openxmlformats.org/officeDocument/2006/relationships/hyperlink" Id="rId34" Target="https://arxiv.org/html/2604.23775v1" TargetMode="External" /><Relationship Type="http://schemas.openxmlformats.org/officeDocument/2006/relationships/hyperlink" Id="rId33" Target="https://asimov-benchmark.github.io/v2/" TargetMode="External" /><Relationship Type="http://schemas.openxmlformats.org/officeDocument/2006/relationships/hyperlink" Id="rId38" Target="https://deepmind.google/models/gemini-robotics/gemini-robotics/" TargetMode="External" /><Relationship Type="http://schemas.openxmlformats.org/officeDocument/2006/relationships/hyperlink" Id="rId40" Target="https://forums.developer.nvidia.com/t/early-access-isaac-gr00t-n1-7-open-reasoning-vla-model-for-humanoid-robotics/366916" TargetMode="External" /><Relationship Type="http://schemas.openxmlformats.org/officeDocument/2006/relationships/hyperlink" Id="rId39" Target="https://github.com/NVIDIA/Isaac-GR00T" TargetMode="External" /><Relationship Type="http://schemas.openxmlformats.org/officeDocument/2006/relationships/hyperlink" Id="rId35" Target="https://github.com/Physical-Intelligence/openpi" TargetMode="External" /><Relationship Type="http://schemas.openxmlformats.org/officeDocument/2006/relationships/hyperlink" Id="rId29" Target="https://github.com/moojink/openvla-oft" TargetMode="External" /><Relationship Type="http://schemas.openxmlformats.org/officeDocument/2006/relationships/hyperlink" Id="rId43" Target="https://github.com/openvla/openvla" TargetMode="External" /><Relationship Type="http://schemas.openxmlformats.org/officeDocument/2006/relationships/hyperlink" Id="rId28" Target="https://openvla-oft.github.io/" TargetMode="External" /><Relationship Type="http://schemas.openxmlformats.org/officeDocument/2006/relationships/hyperlink" Id="rId41" Target="https://www.figure.ai/helix" TargetMode="External" /><Relationship Type="http://schemas.openxmlformats.org/officeDocument/2006/relationships/hyperlink" Id="rId42" Target="https://www.figure.ai/news/helix-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2026-05-12T15:12:01Z</dcterms:created>
  <dcterms:modified xsi:type="dcterms:W3CDTF">2026-05-12T15:12:01Z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