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TP5 — Network QoS Monitor</w:t>
      </w:r>
    </w:p>
    <w:p>
      <w:r>
        <w:t>Guía breve · Explicación, instalación y uso</w:t>
      </w:r>
    </w:p>
    <w:tbl>
      <w:tblPr>
        <w:tblStyle w:val="LightShading-Accent1"/>
        <w:tblW w:type="auto" w:w="0"/>
        <w:tblLook w:firstColumn="1" w:firstRow="1" w:lastColumn="0" w:lastRow="0" w:noHBand="0" w:noVBand="1" w:val="04A0"/>
      </w:tblPr>
      <w:tblGrid>
        <w:gridCol w:w="4819"/>
        <w:gridCol w:w="4819"/>
      </w:tblGrid>
      <w:tr>
        <w:trPr>
          <w:cantSplit/>
        </w:trPr>
        <w:tc>
          <w:tcPr>
            <w:tcW w:type="dxa" w:w="4819"/>
          </w:tcPr>
          <w:p>
            <w:r>
              <w:t>Datos de la entrega</w:t>
            </w:r>
          </w:p>
        </w:tc>
        <w:tc>
          <w:tcPr>
            <w:tcW w:type="dxa" w:w="4819"/>
          </w:tcPr>
          <w:p>
            <w:r>
              <w:t>Completar</w:t>
            </w:r>
          </w:p>
        </w:tc>
      </w:tr>
      <w:tr>
        <w:trPr>
          <w:cantSplit/>
        </w:trPr>
        <w:tc>
          <w:tcPr>
            <w:tcW w:type="dxa" w:w="4819"/>
          </w:tcPr>
          <w:p>
            <w:r>
              <w:t>Institución</w:t>
            </w:r>
          </w:p>
        </w:tc>
        <w:tc>
          <w:tcPr>
            <w:tcW w:type="dxa" w:w="4819"/>
          </w:tcPr>
          <w:p>
            <w:r>
              <w:t>________________________________________</w:t>
            </w:r>
          </w:p>
        </w:tc>
      </w:tr>
      <w:tr>
        <w:trPr>
          <w:cantSplit/>
        </w:trPr>
        <w:tc>
          <w:tcPr>
            <w:tcW w:type="dxa" w:w="4819"/>
          </w:tcPr>
          <w:p>
            <w:r>
              <w:t>Carrera</w:t>
            </w:r>
          </w:p>
        </w:tc>
        <w:tc>
          <w:tcPr>
            <w:tcW w:type="dxa" w:w="4819"/>
          </w:tcPr>
          <w:p>
            <w:r>
              <w:t>________________________________________</w:t>
            </w:r>
          </w:p>
        </w:tc>
      </w:tr>
      <w:tr>
        <w:trPr>
          <w:cantSplit/>
        </w:trPr>
        <w:tc>
          <w:tcPr>
            <w:tcW w:type="dxa" w:w="4819"/>
          </w:tcPr>
          <w:p>
            <w:r>
              <w:t>Asignatura / comisión</w:t>
            </w:r>
          </w:p>
        </w:tc>
        <w:tc>
          <w:tcPr>
            <w:tcW w:type="dxa" w:w="4819"/>
          </w:tcPr>
          <w:p>
            <w:r>
              <w:t>________________________________________</w:t>
            </w:r>
          </w:p>
        </w:tc>
      </w:tr>
      <w:tr>
        <w:trPr>
          <w:cantSplit/>
        </w:trPr>
        <w:tc>
          <w:tcPr>
            <w:tcW w:type="dxa" w:w="4819"/>
          </w:tcPr>
          <w:p>
            <w:r>
              <w:t>Nombre y apellido</w:t>
            </w:r>
          </w:p>
        </w:tc>
        <w:tc>
          <w:tcPr>
            <w:tcW w:type="dxa" w:w="4819"/>
          </w:tcPr>
          <w:p>
            <w:r>
              <w:t>________________________________________</w:t>
            </w:r>
          </w:p>
        </w:tc>
      </w:tr>
      <w:tr>
        <w:trPr>
          <w:cantSplit/>
        </w:trPr>
        <w:tc>
          <w:tcPr>
            <w:tcW w:type="dxa" w:w="4819"/>
          </w:tcPr>
          <w:p>
            <w:r>
              <w:t>Legajo</w:t>
            </w:r>
          </w:p>
        </w:tc>
        <w:tc>
          <w:tcPr>
            <w:tcW w:type="dxa" w:w="4819"/>
          </w:tcPr>
          <w:p>
            <w:r>
              <w:t>________________________________________</w:t>
            </w:r>
          </w:p>
        </w:tc>
      </w:tr>
      <w:tr>
        <w:trPr>
          <w:cantSplit/>
        </w:trPr>
        <w:tc>
          <w:tcPr>
            <w:tcW w:type="dxa" w:w="4819"/>
          </w:tcPr>
          <w:p>
            <w:r>
              <w:t>Docente</w:t>
            </w:r>
          </w:p>
        </w:tc>
        <w:tc>
          <w:tcPr>
            <w:tcW w:type="dxa" w:w="4819"/>
          </w:tcPr>
          <w:p>
            <w:r>
              <w:t>________________________________________</w:t>
            </w:r>
          </w:p>
        </w:tc>
      </w:tr>
      <w:tr>
        <w:trPr>
          <w:cantSplit/>
        </w:trPr>
        <w:tc>
          <w:tcPr>
            <w:tcW w:type="dxa" w:w="4819"/>
          </w:tcPr>
          <w:p>
            <w:r>
              <w:t>Fecha de entrega</w:t>
            </w:r>
          </w:p>
        </w:tc>
        <w:tc>
          <w:tcPr>
            <w:tcW w:type="dxa" w:w="4819"/>
          </w:tcPr>
          <w:p>
            <w:r>
              <w:t>________________________________________</w:t>
            </w:r>
          </w:p>
        </w:tc>
      </w:tr>
      <w:tr>
        <w:trPr>
          <w:cantSplit/>
        </w:trPr>
        <w:tc>
          <w:tcPr>
            <w:tcW w:type="dxa" w:w="4819"/>
          </w:tcPr>
          <w:p>
            <w:r>
              <w:t>Enlace del repositorio</w:t>
            </w:r>
          </w:p>
        </w:tc>
        <w:tc>
          <w:tcPr>
            <w:tcW w:type="dxa" w:w="4819"/>
          </w:tcPr>
          <w:p>
            <w:r>
              <w:t>________________________________________</w:t>
            </w:r>
          </w:p>
        </w:tc>
      </w:tr>
      <w:tr>
        <w:trPr>
          <w:cantSplit/>
        </w:trPr>
        <w:tc>
          <w:tcPr>
            <w:tcW w:type="dxa" w:w="4819"/>
          </w:tcPr>
          <w:p>
            <w:r>
              <w:t>Enlace o nombre del video</w:t>
            </w:r>
          </w:p>
        </w:tc>
        <w:tc>
          <w:tcPr>
            <w:tcW w:type="dxa" w:w="4819"/>
          </w:tcPr>
          <w:p>
            <w:r>
              <w:t>________________________________________</w:t>
            </w:r>
          </w:p>
        </w:tc>
      </w:tr>
    </w:tbl>
    <w:p>
      <w:pPr>
        <w:pStyle w:val="Heading1"/>
      </w:pPr>
      <w:r>
        <w:t>1. Qué hace el sistema</w:t>
      </w:r>
    </w:p>
    <w:p>
      <w:r>
        <w:t>Aplicación Android para observar la calidad de una conexión. Identifica la red y el operador disponible; mide latencia TCP/UDP y velocidad de descarga/subida; guarda resultados con fecha y ubicación cuando existe una posición válida. Permite consultar gráficos, mapa de calor, filtros y exportar CSV/JSON.</w:t>
      </w:r>
    </w:p>
    <w:p>
      <w:r>
        <w:t>El monitoreo periódico repite lotes de latencia, guarda sus resultados y emite alertas según umbrales configurables. Se inicia y detiene manualmente. No ejecuta pruebas automáticas de velocidad.</w:t>
      </w:r>
    </w:p>
    <w:p>
      <w:pPr>
        <w:pStyle w:val="Heading2"/>
      </w:pPr>
      <w:r>
        <w:t>Componentes</w:t>
      </w:r>
    </w:p>
    <w:p>
      <w:r>
        <w:t>Interfaz en React Native y TypeScript; módulos Kotlin para mediciones, GPS, SQLite y servicio Android; estado compartido con Context + useReducer. Backend propio Node.js/Express para transferencias y eco UDP. Mapa OpenStreetMap con Leaflet. Entrega Android, probada en Samsung A55 con Android 16.</w:t>
      </w:r>
    </w:p>
    <w:p>
      <w:r>
        <w:t>El APK funciona sin Metro. El servidor de la PC solo es necesario para las pruebas de velocidad y eco UDP contra ese servidor. El código y la documentación técnica ampliada se encuentran en el repositorio.</w:t>
      </w:r>
    </w:p>
    <w:p>
      <w:r>
        <w:br w:type="page"/>
      </w:r>
    </w:p>
    <w:p>
      <w:pPr>
        <w:pStyle w:val="Heading1"/>
      </w:pPr>
      <w:r>
        <w:t>2. Instalación y preparación</w:t>
      </w:r>
    </w:p>
    <w:p>
      <w:pPr>
        <w:pStyle w:val="Heading2"/>
      </w:pPr>
      <w:r>
        <w:t>En el teléfono</w:t>
      </w:r>
    </w:p>
    <w:p>
      <w:pPr>
        <w:pStyle w:val="ListNumber"/>
      </w:pPr>
      <w:r>
        <w:t>Copiar NetworkQoSMonitor-Android.apk al teléfono Android ARM64. Es un APK de pruebas (Android 7 o posterior); el dispositivo validado es el Samsung A55.</w:t>
      </w:r>
    </w:p>
    <w:p>
      <w:pPr>
        <w:pStyle w:val="ListNumber"/>
      </w:pPr>
      <w:r>
        <w:t>Abrir el archivo y, si Android lo solicita, permitir la instalación desde esa aplicación de archivos. Instalar y abrir Network QoS Monitor.</w:t>
      </w:r>
    </w:p>
    <w:p>
      <w:pPr>
        <w:pStyle w:val="ListNumber"/>
      </w:pPr>
      <w:r>
        <w:t>Conceder los permisos solicitados para las funciones utilizadas: ubicación (preferentemente precisa), notificaciones y telefonía cuando se solicite. Activar también Ubicación en el sistema.</w:t>
      </w:r>
    </w:p>
    <w:p>
      <w:pPr>
        <w:pStyle w:val="ListNumber"/>
      </w:pPr>
      <w:r>
        <w:t>En Monitoreo, tocar Habilitar ubicación antes de medir. Los registros sin posición reciente se conservan, pero no aparecen como puntos del mapa.</w:t>
      </w:r>
    </w:p>
    <w:p>
      <w:pPr>
        <w:pStyle w:val="Heading2"/>
      </w:pPr>
      <w:r>
        <w:t>Servidor propio en una PC Windows</w:t>
      </w:r>
    </w:p>
    <w:p>
      <w:r>
        <w:t>Requiere Node.js 22.11 o posterior y el código del repositorio. PC y teléfono deben estar en la misma red Wi-Fi para utilizar la dirección privada de la PC.</w:t>
      </w:r>
    </w:p>
    <w:p>
      <w:r>
        <w:t>Desde PowerShell, dentro de la carpeta del proyecto:</w:t>
      </w:r>
    </w:p>
    <w:p>
      <w:r>
        <w:rPr>
          <w:rFonts w:ascii="Consolas" w:hAnsi="Consolas"/>
          <w:sz w:val="18"/>
        </w:rPr>
        <w:t>cd backend</w:t>
      </w:r>
    </w:p>
    <w:p>
      <w:r>
        <w:rPr>
          <w:rFonts w:ascii="Consolas" w:hAnsi="Consolas"/>
          <w:sz w:val="18"/>
        </w:rPr>
        <w:t>npm.cmd ci</w:t>
      </w:r>
    </w:p>
    <w:p>
      <w:r>
        <w:rPr>
          <w:rFonts w:ascii="Consolas" w:hAnsi="Consolas"/>
          <w:sz w:val="18"/>
        </w:rPr>
        <w:t>cd ..</w:t>
      </w:r>
    </w:p>
    <w:p>
      <w:r>
        <w:rPr>
          <w:rFonts w:ascii="Consolas" w:hAnsi="Consolas"/>
          <w:sz w:val="18"/>
        </w:rPr>
        <w:t>.\scripts\start-backend.ps1 -BindAddress &lt;IP_DE_LA_PC&gt;</w:t>
      </w:r>
    </w:p>
    <w:p>
      <w:r>
        <w:t>Reemplazar &lt;IP_DE_LA_PC&gt; por la dirección IPv4 real de la PC, consultable con ipconfig. Dejar abierta la terminal del servidor. Si el firewall bloquea la conexión, permitir TCP 5050 y UDP 5051 en la red privada.</w:t>
      </w:r>
    </w:p>
    <w:p>
      <w:r>
        <w:t>Comprobar desde Chrome del teléfono: http://&lt;IP_DE_LA_PC&gt;:5050/health. Debe aparecer la identificación network-qos. En Velocidad usar http://&lt;IP_DE_LA_PC&gt;:5050; para eco UDP usar esa IP y puerto 5051.</w:t>
      </w:r>
    </w:p>
    <w:p>
      <w:pPr>
        <w:pStyle w:val="Heading2"/>
      </w:pPr>
      <w:r>
        <w:t>Compilar desde el código (opcional)</w:t>
      </w:r>
    </w:p>
    <w:p>
      <w:r>
        <w:t>El README explica cómo preparar JDK/SDK portables, aceptar licencias e instalar dependencias con npm.cmd ci dentro de mobile. Después, desde la raíz: .\scripts\build-android.ps1 -Mode Standalone. Salida: mobile/android/app/build/outputs/apk/release/app-release.apk. No hace falta Android Studio ni emulador. El backend incluye un Dockerfile opcional e instrucciones propias; el contenedor no fue probado en esta PC.</w:t>
      </w:r>
    </w:p>
    <w:p>
      <w:r>
        <w:br w:type="page"/>
      </w:r>
    </w:p>
    <w:p>
      <w:pPr>
        <w:pStyle w:val="Heading1"/>
      </w:pPr>
      <w:r>
        <w:t>3. Uso del sistema</w:t>
      </w:r>
    </w:p>
    <w:tbl>
      <w:tblPr>
        <w:tblStyle w:val="LightShading-Accent1"/>
        <w:tblW w:type="auto" w:w="0"/>
        <w:tblLook w:firstColumn="1" w:firstRow="1" w:lastColumn="0" w:lastRow="0" w:noHBand="0" w:noVBand="1" w:val="04A0"/>
      </w:tblPr>
      <w:tblGrid>
        <w:gridCol w:w="4819"/>
        <w:gridCol w:w="4819"/>
      </w:tblGrid>
      <w:tr>
        <w:trPr>
          <w:cantSplit/>
        </w:trPr>
        <w:tc>
          <w:tcPr>
            <w:tcW w:type="dxa" w:w="4819"/>
          </w:tcPr>
          <w:p>
            <w:r>
              <w:t>Sección</w:t>
            </w:r>
          </w:p>
        </w:tc>
        <w:tc>
          <w:tcPr>
            <w:tcW w:type="dxa" w:w="4819"/>
          </w:tcPr>
          <w:p>
            <w:r>
              <w:t>Operación</w:t>
            </w:r>
          </w:p>
        </w:tc>
      </w:tr>
      <w:tr>
        <w:trPr>
          <w:cantSplit/>
        </w:trPr>
        <w:tc>
          <w:tcPr>
            <w:tcW w:type="dxa" w:w="4819"/>
          </w:tcPr>
          <w:p>
            <w:r>
              <w:t>Inicio</w:t>
            </w:r>
          </w:p>
        </w:tc>
        <w:tc>
          <w:tcPr>
            <w:tcW w:type="dxa" w:w="4819"/>
          </w:tcPr>
          <w:p>
            <w:r>
              <w:t>Consultar conexión activa, operador y señal disponible.</w:t>
            </w:r>
          </w:p>
        </w:tc>
      </w:tr>
      <w:tr>
        <w:trPr>
          <w:cantSplit/>
        </w:trPr>
        <w:tc>
          <w:tcPr>
            <w:tcW w:type="dxa" w:w="4819"/>
          </w:tcPr>
          <w:p>
            <w:r>
              <w:t>Latencia</w:t>
            </w:r>
          </w:p>
        </w:tc>
        <w:tc>
          <w:tcPr>
            <w:tcW w:type="dxa" w:w="4819"/>
          </w:tcPr>
          <w:p>
            <w:r>
              <w:t>Configurar al menos tres destinos. Ejemplo: PC:5051 UDP, 8.8.8.8:53 TCP y 9.9.9.9:53 TCP. Iniciar y esperar 10 intentos por destino. Los DNS públicos no son servidores de eco UDP.</w:t>
            </w:r>
          </w:p>
        </w:tc>
      </w:tr>
      <w:tr>
        <w:trPr>
          <w:cantSplit/>
        </w:trPr>
        <w:tc>
          <w:tcPr>
            <w:tcW w:type="dxa" w:w="4819"/>
          </w:tcPr>
          <w:p>
            <w:r>
              <w:t>Velocidad</w:t>
            </w:r>
          </w:p>
        </w:tc>
        <w:tc>
          <w:tcPr>
            <w:tcW w:type="dxa" w:w="4819"/>
          </w:tcPr>
          <w:p>
            <w:r>
              <w:t>Indicar URL del backend y tamaño 1, 5 o 10 MiB. Iniciar las tres rondas de descarga/subida; para una demostración breve, usar 1 MiB.</w:t>
            </w:r>
          </w:p>
        </w:tc>
      </w:tr>
      <w:tr>
        <w:trPr>
          <w:cantSplit/>
        </w:trPr>
        <w:tc>
          <w:tcPr>
            <w:tcW w:type="dxa" w:w="4819"/>
          </w:tcPr>
          <w:p>
            <w:r>
              <w:t>Monitoreo</w:t>
            </w:r>
          </w:p>
        </w:tc>
        <w:tc>
          <w:tcPr>
            <w:tcW w:type="dxa" w:w="4819"/>
          </w:tcPr>
          <w:p>
            <w:r>
              <w:t>Usa los destinos guardados por la última prueba de Latencia. Iniciar, comprobar Activo y detener desde la app o su notificación. Detener antes de realizar mediciones manuales.</w:t>
            </w:r>
          </w:p>
        </w:tc>
      </w:tr>
      <w:tr>
        <w:trPr>
          <w:cantSplit/>
        </w:trPr>
        <w:tc>
          <w:tcPr>
            <w:tcW w:type="dxa" w:w="4819"/>
          </w:tcPr>
          <w:p>
            <w:r>
              <w:t>Historial</w:t>
            </w:r>
          </w:p>
        </w:tc>
        <w:tc>
          <w:tcPr>
            <w:tcW w:type="dxa" w:w="4819"/>
          </w:tcPr>
          <w:p>
            <w:r>
              <w:t>Actualizar, tocar una fecha para abrir su gráfico debajo. Filtrar por red, fechas AAAA-MM-DD o área sur,oeste,norte,este. Exportar CSV/JSON con los filtros aplicados.</w:t>
            </w:r>
          </w:p>
        </w:tc>
      </w:tr>
      <w:tr>
        <w:trPr>
          <w:cantSplit/>
        </w:trPr>
        <w:tc>
          <w:tcPr>
            <w:tcW w:type="dxa" w:w="4819"/>
          </w:tcPr>
          <w:p>
            <w:r>
              <w:t>Mapa</w:t>
            </w:r>
          </w:p>
        </w:tc>
        <w:tc>
          <w:tcPr>
            <w:tcW w:type="dxa" w:w="4819"/>
          </w:tcPr>
          <w:p>
            <w:r>
              <w:t>Actualizar y observar las muestras de RTT con ubicación. Tocar un punto para leer RTT y precisión. El calor representa demora, no cobertura celular; densidad y zoom también afectan el color.</w:t>
            </w:r>
          </w:p>
        </w:tc>
      </w:tr>
    </w:tbl>
    <w:p>
      <w:pPr>
        <w:pStyle w:val="Heading2"/>
      </w:pPr>
      <w:r>
        <w:t>Cómo interpretar los números</w:t>
      </w:r>
    </w:p>
    <w:p>
      <w:r>
        <w:t>RTT (ms): demora de ida y vuelta. Mínimo/promedio/máximo usan respuestas válidas. Jitter (ms): variación entre RTT consecutivos; menor suele ser más estable. Mbps: tasa de transferencia; MiB: tamaño de archivo. 10/10 intentos no significa diez respuestas. Un guion indica dato insuficiente. Los fallos TCP o ecos UDP ausentes no identifican por sí solos la causa del problema.</w:t>
      </w:r>
    </w:p>
    <w:p>
      <w:r>
        <w:t>Valores iniciales de monitoreo: pausa de 60 s después de cada lote, umbral de RTT 500 ms, jitter 100 ms y fallos 50 %. Son configurables y de prueba. Las alertas se separan al menos cinco minutos. Android puede limitar o diferir el servicio; no continúa tras Forzar detención ni se inicia solo al encender.</w:t>
      </w:r>
    </w:p>
    <w:p>
      <w:pPr>
        <w:pStyle w:val="Heading2"/>
      </w:pPr>
      <w:r>
        <w:t>Alcance y comprobaciones</w:t>
      </w:r>
    </w:p>
    <w:p>
      <w:r>
        <w:t>Se verificaron TCP/UDP, velocidad, dos sesiones con RTT y ubicación, mapa, gráficos, exportaciones reales CSV/JSON y generación/detención del monitoreo. La condición de pantalla bloqueada queda pendiente de confirmación explícita. El mensaje de búsqueda de ubicación es informativo y no confirma un GPS actual.</w:t>
      </w:r>
    </w:p>
    <w:p>
      <w:r>
        <w:t>La IP privada de la PC no es accesible por datos móviles. En 4G/5G se pueden medir destinos TCP públicos; velocidad y UDP requieren un servidor accesible desde Internet. Una transferencia contra la PC mide el trayecto local, no necesariamente la velocidad contratada. Las exportaciones pueden contener coordenadas personales. La entrega incluye video de 3–5 minutos con dos sesiones reales; no se exige que sean de redes distintas.</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Network QoS Monitor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454A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54A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454A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TP5 — Network QoS Monitor | Instalación y uso</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