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42CCFBE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Stefany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6B18AC6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DE211F">
              <w:rPr>
                <w:rFonts w:ascii="Arial" w:hAnsi="Arial" w:cs="Arial"/>
                <w:sz w:val="24"/>
                <w:szCs w:val="24"/>
                <w14:shadow w14:blurRad="38100" w14:dist="25400" w14:dir="5400000" w14:sx="100000" w14:sy="100000" w14:kx="0" w14:ky="0" w14:algn="ctr">
                  <w14:srgbClr w14:val="6E747A">
                    <w14:alpha w14:val="57000"/>
                  </w14:srgbClr>
                </w14:shadow>
              </w:rPr>
              <w:t>102</w:t>
            </w:r>
            <w:bookmarkStart w:id="0" w:name="_GoBack"/>
            <w:bookmarkEnd w:id="0"/>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4167B330"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DE211F">
              <w:rPr>
                <w:rFonts w:ascii="Arial" w:hAnsi="Arial" w:cs="Arial"/>
                <w:sz w:val="24"/>
                <w:szCs w:val="24"/>
                <w14:shadow w14:blurRad="38100" w14:dist="25400" w14:dir="5400000" w14:sx="100000" w14:sy="100000" w14:kx="0" w14:ky="0" w14:algn="ctr">
                  <w14:srgbClr w14:val="6E747A">
                    <w14:alpha w14:val="57000"/>
                  </w14:srgbClr>
                </w14:shadow>
              </w:rPr>
              <w:t>083</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14:paraId="2CAB4565" w14:textId="77777777"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Dado: “São Paulo consome R$ 965 milhões por ano com lixo. O Rio de Janeiro consome R$ 850 milhões. O que cada contribuinte paga é uma taxa de não cobre os gastos. Quem suja mais não paga mais.” (</w:t>
      </w:r>
      <w:hyperlink r:id="rId5"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consequências isso acarreta a qualidade de vida das gerações futuras. Existem empresas responsáveis pela coleta de resíduos orgânicos, plásticos, </w:t>
      </w:r>
      <w:proofErr w:type="gramStart"/>
      <w:r w:rsidRPr="00F62B25">
        <w:rPr>
          <w:rFonts w:ascii="Arial" w:hAnsi="Arial" w:cs="Arial"/>
          <w:sz w:val="24"/>
          <w:szCs w:val="24"/>
        </w:rPr>
        <w:t>papel e etc. Assim</w:t>
      </w:r>
      <w:proofErr w:type="gramEnd"/>
      <w:r w:rsidRPr="00F62B25">
        <w:rPr>
          <w:rFonts w:ascii="Arial" w:hAnsi="Arial" w:cs="Arial"/>
          <w:sz w:val="24"/>
          <w:szCs w:val="24"/>
        </w:rPr>
        <w:t xml:space="preserve">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w:t>
      </w:r>
      <w:proofErr w:type="spellStart"/>
      <w:r w:rsidRPr="00F62B25">
        <w:rPr>
          <w:rFonts w:ascii="Arial" w:hAnsi="Arial" w:cs="Arial"/>
          <w:color w:val="000000" w:themeColor="text1"/>
          <w:sz w:val="24"/>
          <w:szCs w:val="24"/>
        </w:rPr>
        <w:t>fast</w:t>
      </w:r>
      <w:proofErr w:type="spellEnd"/>
      <w:r w:rsidRPr="00F62B25">
        <w:rPr>
          <w:rFonts w:ascii="Arial" w:hAnsi="Arial" w:cs="Arial"/>
          <w:color w:val="000000" w:themeColor="text1"/>
          <w:sz w:val="24"/>
          <w:szCs w:val="24"/>
        </w:rPr>
        <w:t xml:space="preserve">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w:t>
      </w:r>
      <w:proofErr w:type="spellStart"/>
      <w:r w:rsidRPr="00F62B25">
        <w:rPr>
          <w:rFonts w:ascii="Arial" w:hAnsi="Arial" w:cs="Arial"/>
          <w:color w:val="2F5496" w:themeColor="accent1" w:themeShade="BF"/>
          <w:sz w:val="24"/>
          <w:szCs w:val="24"/>
        </w:rPr>
        <w:t>app</w:t>
      </w:r>
      <w:proofErr w:type="spellEnd"/>
      <w:r w:rsidRPr="00F62B25">
        <w:rPr>
          <w:rFonts w:ascii="Arial" w:hAnsi="Arial" w:cs="Arial"/>
          <w:color w:val="2F5496" w:themeColor="accent1" w:themeShade="BF"/>
          <w:sz w:val="24"/>
          <w:szCs w:val="24"/>
        </w:rPr>
        <w:t xml:space="preserve">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cidade.”</w:t>
      </w:r>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Existe um app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coleta</w:t>
      </w:r>
      <w:proofErr w:type="spellEnd"/>
      <w:r w:rsidRPr="00F62B25">
        <w:rPr>
          <w:rStyle w:val="spellingerror"/>
          <w:rFonts w:ascii="Arial" w:hAnsi="Arial" w:cs="Arial"/>
          <w:sz w:val="24"/>
          <w:szCs w:val="24"/>
          <w:lang w:val="en-US"/>
        </w:rPr>
        <w:t xml:space="preserve">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por</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0666126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j</w:t>
      </w:r>
      <w:r w:rsidR="00491E4C">
        <w:rPr>
          <w:rStyle w:val="normaltextrun"/>
          <w:rFonts w:ascii="Arial" w:hAnsi="Arial" w:cs="Arial"/>
          <w:sz w:val="24"/>
          <w:szCs w:val="24"/>
          <w:lang w:val="en-US"/>
        </w:rPr>
        <w:t>á</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recolhidas</w:t>
      </w:r>
      <w:r w:rsidR="00491E4C">
        <w:rPr>
          <w:rStyle w:val="normaltextrun"/>
          <w:rFonts w:ascii="Arial" w:hAnsi="Arial" w:cs="Arial"/>
          <w:sz w:val="24"/>
          <w:szCs w:val="24"/>
          <w:lang w:val="en-US"/>
        </w:rPr>
        <w:t>..</w:t>
      </w:r>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E"/>
    <w:rsid w:val="00083A06"/>
    <w:rsid w:val="000B57EB"/>
    <w:rsid w:val="001551F3"/>
    <w:rsid w:val="0016298B"/>
    <w:rsid w:val="00165B17"/>
    <w:rsid w:val="00411060"/>
    <w:rsid w:val="00464EDB"/>
    <w:rsid w:val="00491E4C"/>
    <w:rsid w:val="00494B3E"/>
    <w:rsid w:val="00857922"/>
    <w:rsid w:val="00942AA8"/>
    <w:rsid w:val="009D26BD"/>
    <w:rsid w:val="00A86107"/>
    <w:rsid w:val="00AA16BB"/>
    <w:rsid w:val="00AE0A7F"/>
    <w:rsid w:val="00DE211F"/>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MenoPendente1">
    <w:name w:val="Menção Pendente1"/>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g1.globo.com/bomdiabrasil/0,,MUL1558256-16020,00-QUAL+E+O+CUSTO+DO+LIXO+PARA+AS+CIDAD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8DA8-D69C-4FF7-9CFA-745E7656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724</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Aluno</cp:lastModifiedBy>
  <cp:revision>8</cp:revision>
  <dcterms:created xsi:type="dcterms:W3CDTF">2020-03-03T16:57:00Z</dcterms:created>
  <dcterms:modified xsi:type="dcterms:W3CDTF">2020-03-10T17:08:00Z</dcterms:modified>
</cp:coreProperties>
</file>