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DBBD6" w14:textId="553EBA72" w:rsidR="00B06AA3" w:rsidRDefault="005432B6" w:rsidP="005432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Pr="005432B6">
        <w:rPr>
          <w:b/>
          <w:bCs/>
          <w:sz w:val="28"/>
          <w:szCs w:val="28"/>
        </w:rPr>
        <w:t>nvestimentos</w:t>
      </w:r>
      <w:r>
        <w:rPr>
          <w:b/>
          <w:bCs/>
          <w:sz w:val="28"/>
          <w:szCs w:val="28"/>
        </w:rPr>
        <w:t xml:space="preserve"> financeiros</w:t>
      </w:r>
    </w:p>
    <w:p w14:paraId="29978AD3" w14:textId="35B57F25" w:rsidR="005432B6" w:rsidRDefault="005432B6" w:rsidP="005432B6">
      <w:pPr>
        <w:rPr>
          <w:b/>
          <w:bCs/>
          <w:sz w:val="28"/>
          <w:szCs w:val="28"/>
        </w:rPr>
      </w:pPr>
    </w:p>
    <w:p w14:paraId="6EC1AEA0" w14:textId="234C9F8A" w:rsidR="005F78E3" w:rsidRDefault="005432B6" w:rsidP="005F78E3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F78E3">
        <w:rPr>
          <w:rFonts w:ascii="Arial" w:hAnsi="Arial" w:cs="Arial"/>
          <w:color w:val="000000" w:themeColor="text1"/>
        </w:rPr>
        <w:t>A busca por investimentos financeiros está cada vez mais recorrente, uma vez que a educação financeira é peça chave para quem quer aplicar seu dinheiro com sabedoria. Diante disso,</w:t>
      </w:r>
      <w:r w:rsidR="005F78E3" w:rsidRPr="005F78E3">
        <w:rPr>
          <w:rFonts w:ascii="Arial" w:hAnsi="Arial" w:cs="Arial"/>
          <w:color w:val="000000" w:themeColor="text1"/>
        </w:rPr>
        <w:t xml:space="preserve"> existem muitos tipos de investimentos. Cada um tem as suas características específicas</w:t>
      </w:r>
      <w:r w:rsidR="005F78E3">
        <w:rPr>
          <w:rFonts w:ascii="Arial" w:hAnsi="Arial" w:cs="Arial"/>
          <w:color w:val="000000" w:themeColor="text1"/>
        </w:rPr>
        <w:t>,</w:t>
      </w:r>
      <w:r w:rsidR="005F78E3" w:rsidRPr="005F78E3">
        <w:rPr>
          <w:rFonts w:ascii="Arial" w:hAnsi="Arial" w:cs="Arial"/>
          <w:color w:val="000000" w:themeColor="text1"/>
        </w:rPr>
        <w:t xml:space="preserve"> </w:t>
      </w:r>
      <w:r w:rsidR="005F78E3">
        <w:rPr>
          <w:rFonts w:ascii="Arial" w:hAnsi="Arial" w:cs="Arial"/>
          <w:color w:val="000000" w:themeColor="text1"/>
        </w:rPr>
        <w:t>u</w:t>
      </w:r>
      <w:r w:rsidR="005F78E3" w:rsidRPr="005F78E3">
        <w:rPr>
          <w:rFonts w:ascii="Arial" w:hAnsi="Arial" w:cs="Arial"/>
          <w:color w:val="000000" w:themeColor="text1"/>
        </w:rPr>
        <w:t>ns são mais rentáveis, outros mais seguros</w:t>
      </w:r>
      <w:r w:rsidR="005F78E3">
        <w:rPr>
          <w:rFonts w:ascii="Arial" w:hAnsi="Arial" w:cs="Arial"/>
          <w:color w:val="000000" w:themeColor="text1"/>
        </w:rPr>
        <w:t>, n</w:t>
      </w:r>
      <w:r w:rsidR="005F78E3" w:rsidRPr="005F78E3">
        <w:rPr>
          <w:rFonts w:ascii="Arial" w:hAnsi="Arial" w:cs="Arial"/>
          <w:color w:val="000000" w:themeColor="text1"/>
        </w:rPr>
        <w:t xml:space="preserve">o entanto, nem todos trarão tranquilidade, rentabilidade e segurança. Assim, é fundamental </w:t>
      </w:r>
      <w:r w:rsidR="005F78E3">
        <w:rPr>
          <w:rFonts w:ascii="Arial" w:hAnsi="Arial" w:cs="Arial"/>
          <w:color w:val="000000" w:themeColor="text1"/>
        </w:rPr>
        <w:t>o conhecimento acerca</w:t>
      </w:r>
      <w:r w:rsidR="005F78E3" w:rsidRPr="005F78E3">
        <w:rPr>
          <w:rFonts w:ascii="Arial" w:hAnsi="Arial" w:cs="Arial"/>
          <w:color w:val="000000" w:themeColor="text1"/>
        </w:rPr>
        <w:t xml:space="preserve"> </w:t>
      </w:r>
      <w:r w:rsidR="005F78E3">
        <w:rPr>
          <w:rFonts w:ascii="Arial" w:hAnsi="Arial" w:cs="Arial"/>
          <w:color w:val="000000" w:themeColor="text1"/>
        </w:rPr>
        <w:t>d</w:t>
      </w:r>
      <w:r w:rsidR="005F78E3" w:rsidRPr="005F78E3">
        <w:rPr>
          <w:rFonts w:ascii="Arial" w:hAnsi="Arial" w:cs="Arial"/>
          <w:color w:val="000000" w:themeColor="text1"/>
        </w:rPr>
        <w:t>os </w:t>
      </w:r>
      <w:r w:rsidR="005F78E3" w:rsidRPr="005F78E3">
        <w:rPr>
          <w:rStyle w:val="Forte"/>
          <w:rFonts w:ascii="Arial" w:hAnsi="Arial" w:cs="Arial"/>
          <w:b w:val="0"/>
          <w:bCs w:val="0"/>
          <w:color w:val="000000" w:themeColor="text1"/>
        </w:rPr>
        <w:t>melhores tipos de investimentos</w:t>
      </w:r>
      <w:r w:rsidR="005F78E3" w:rsidRPr="005F78E3">
        <w:rPr>
          <w:rFonts w:ascii="Arial" w:hAnsi="Arial" w:cs="Arial"/>
          <w:color w:val="000000" w:themeColor="text1"/>
        </w:rPr>
        <w:t> </w:t>
      </w:r>
      <w:bookmarkStart w:id="0" w:name="_GoBack"/>
      <w:bookmarkEnd w:id="0"/>
      <w:r w:rsidR="005F78E3" w:rsidRPr="005F78E3">
        <w:rPr>
          <w:rFonts w:ascii="Arial" w:hAnsi="Arial" w:cs="Arial"/>
          <w:color w:val="000000" w:themeColor="text1"/>
        </w:rPr>
        <w:t>financeiros e suas categorias. Somente dessa forma será possível aplicar como um investidor consciente, controlando riscos e maximizando o lucro.</w:t>
      </w:r>
    </w:p>
    <w:p w14:paraId="4D912B80" w14:textId="77777777" w:rsidR="005F78E3" w:rsidRPr="005F78E3" w:rsidRDefault="005F78E3" w:rsidP="005F78E3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 w:themeColor="text1"/>
        </w:rPr>
      </w:pPr>
    </w:p>
    <w:p w14:paraId="0EDB74A7" w14:textId="4866EDC0" w:rsidR="005432B6" w:rsidRPr="005F78E3" w:rsidRDefault="005F78E3" w:rsidP="005F78E3">
      <w:pPr>
        <w:tabs>
          <w:tab w:val="left" w:pos="1245"/>
        </w:tabs>
        <w:spacing w:after="0" w:line="360" w:lineRule="auto"/>
        <w:ind w:firstLine="709"/>
        <w:jc w:val="center"/>
        <w:rPr>
          <w:b/>
          <w:bCs/>
        </w:rPr>
      </w:pPr>
      <w:r w:rsidRPr="005F78E3">
        <w:rPr>
          <w:b/>
          <w:bCs/>
        </w:rPr>
        <w:t>Tipos de investimentos financeiros</w:t>
      </w:r>
    </w:p>
    <w:p w14:paraId="6DEE4386" w14:textId="77E014F8" w:rsidR="008B3EFB" w:rsidRDefault="008B3EFB" w:rsidP="00ED595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68068306" w14:textId="633AEC40" w:rsidR="005F78E3" w:rsidRDefault="005F78E3" w:rsidP="005F78E3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7B1B69">
        <w:rPr>
          <w:rFonts w:ascii="Arial" w:hAnsi="Arial" w:cs="Arial"/>
          <w:b/>
          <w:bCs/>
          <w:color w:val="000000" w:themeColor="text1"/>
        </w:rPr>
        <w:t>Investimentos em Renda Fixa</w:t>
      </w:r>
      <w:r w:rsidRPr="005F78E3">
        <w:rPr>
          <w:rFonts w:ascii="Arial" w:hAnsi="Arial" w:cs="Arial"/>
          <w:color w:val="000000" w:themeColor="text1"/>
        </w:rPr>
        <w:t xml:space="preserve">: </w:t>
      </w:r>
      <w:r w:rsidR="007B1B69">
        <w:rPr>
          <w:rFonts w:ascii="Arial" w:hAnsi="Arial" w:cs="Arial"/>
          <w:color w:val="000000" w:themeColor="text1"/>
        </w:rPr>
        <w:t>T</w:t>
      </w:r>
      <w:r w:rsidRPr="005F78E3">
        <w:rPr>
          <w:rFonts w:ascii="Arial" w:hAnsi="Arial" w:cs="Arial"/>
          <w:color w:val="000000" w:themeColor="text1"/>
        </w:rPr>
        <w:t xml:space="preserve">odos os investimentos onde é possível ter uma boa previsibilidade do retorno. Assim, </w:t>
      </w:r>
      <w:r w:rsidR="002B75FA">
        <w:rPr>
          <w:rFonts w:ascii="Arial" w:hAnsi="Arial" w:cs="Arial"/>
          <w:color w:val="000000" w:themeColor="text1"/>
        </w:rPr>
        <w:t xml:space="preserve">todas </w:t>
      </w:r>
      <w:proofErr w:type="gramStart"/>
      <w:r w:rsidR="002B75FA">
        <w:rPr>
          <w:rFonts w:ascii="Arial" w:hAnsi="Arial" w:cs="Arial"/>
          <w:color w:val="000000" w:themeColor="text1"/>
        </w:rPr>
        <w:t>aplicações</w:t>
      </w:r>
      <w:r w:rsidRPr="005F78E3">
        <w:rPr>
          <w:rFonts w:ascii="Arial" w:hAnsi="Arial" w:cs="Arial"/>
          <w:color w:val="000000" w:themeColor="text1"/>
        </w:rPr>
        <w:t xml:space="preserve"> enquadrados</w:t>
      </w:r>
      <w:proofErr w:type="gramEnd"/>
      <w:r w:rsidRPr="005F78E3">
        <w:rPr>
          <w:rFonts w:ascii="Arial" w:hAnsi="Arial" w:cs="Arial"/>
          <w:color w:val="000000" w:themeColor="text1"/>
        </w:rPr>
        <w:t xml:space="preserve"> nessa categoria são considerados mais seguros e conservadores. Dentro de renda fixa, existem dois tipos de investimentos: </w:t>
      </w:r>
      <w:r w:rsidRPr="005F78E3">
        <w:rPr>
          <w:rStyle w:val="Forte"/>
          <w:rFonts w:ascii="Arial" w:hAnsi="Arial" w:cs="Arial"/>
          <w:b w:val="0"/>
          <w:bCs w:val="0"/>
          <w:color w:val="000000" w:themeColor="text1"/>
        </w:rPr>
        <w:t>os prefixados e os pós-fixados</w:t>
      </w:r>
      <w:r w:rsidRPr="005F78E3">
        <w:rPr>
          <w:rStyle w:val="Forte"/>
          <w:rFonts w:ascii="Arial" w:hAnsi="Arial" w:cs="Arial"/>
          <w:color w:val="000000" w:themeColor="text1"/>
        </w:rPr>
        <w:t>.</w:t>
      </w:r>
      <w:r w:rsidRPr="005F78E3">
        <w:rPr>
          <w:rFonts w:ascii="Arial" w:hAnsi="Arial" w:cs="Arial"/>
          <w:color w:val="000000" w:themeColor="text1"/>
        </w:rPr>
        <w:t xml:space="preserve"> Os prefixados possuem uma taxa de rentabilidade fixa. No momento de efetuar o investimento, você já sabe exatamente quanto ele vai render. E os pós-fixados possuem alguma conexão com índices. Normalmente, é atrelado ao CDI</w:t>
      </w:r>
      <w:r w:rsidR="007B1B69">
        <w:rPr>
          <w:rFonts w:ascii="Arial" w:hAnsi="Arial" w:cs="Arial"/>
          <w:color w:val="000000" w:themeColor="text1"/>
        </w:rPr>
        <w:t xml:space="preserve"> (Uma taxa)</w:t>
      </w:r>
      <w:r w:rsidRPr="005F78E3">
        <w:rPr>
          <w:rFonts w:ascii="Arial" w:hAnsi="Arial" w:cs="Arial"/>
          <w:color w:val="000000" w:themeColor="text1"/>
        </w:rPr>
        <w:t>, à Selic ou ao </w:t>
      </w:r>
      <w:hyperlink r:id="rId5" w:tgtFrame="_blank" w:history="1">
        <w:r w:rsidRPr="005F78E3">
          <w:rPr>
            <w:rStyle w:val="Hiperlink"/>
            <w:rFonts w:ascii="Arial" w:hAnsi="Arial" w:cs="Arial"/>
            <w:color w:val="000000" w:themeColor="text1"/>
            <w:u w:val="none"/>
          </w:rPr>
          <w:t>IPCA (inflação)</w:t>
        </w:r>
      </w:hyperlink>
      <w:r w:rsidRPr="005F78E3">
        <w:rPr>
          <w:rFonts w:ascii="Arial" w:hAnsi="Arial" w:cs="Arial"/>
          <w:color w:val="000000" w:themeColor="text1"/>
        </w:rPr>
        <w:t>.  Os títulos de renda fixa mais populares são:</w:t>
      </w:r>
    </w:p>
    <w:p w14:paraId="5FA6CB9B" w14:textId="77777777" w:rsidR="007B1B69" w:rsidRPr="005F78E3" w:rsidRDefault="007B1B69" w:rsidP="005F78E3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 w:themeColor="text1"/>
        </w:rPr>
      </w:pPr>
    </w:p>
    <w:p w14:paraId="24F6B7F5" w14:textId="629ED946" w:rsidR="005432B6" w:rsidRDefault="008B3EFB" w:rsidP="008B3EFB">
      <w:pPr>
        <w:pStyle w:val="PargrafodaLista"/>
        <w:numPr>
          <w:ilvl w:val="0"/>
          <w:numId w:val="3"/>
        </w:numPr>
        <w:tabs>
          <w:tab w:val="left" w:pos="1245"/>
        </w:tabs>
        <w:spacing w:after="0" w:line="360" w:lineRule="auto"/>
        <w:ind w:left="714" w:hanging="357"/>
      </w:pPr>
      <w:r>
        <w:t>Tesouro Direto;</w:t>
      </w:r>
    </w:p>
    <w:p w14:paraId="78C76D39" w14:textId="083D8427" w:rsidR="008B3EFB" w:rsidRDefault="008B3EFB" w:rsidP="008B3EFB">
      <w:pPr>
        <w:pStyle w:val="PargrafodaLista"/>
        <w:numPr>
          <w:ilvl w:val="0"/>
          <w:numId w:val="3"/>
        </w:numPr>
        <w:tabs>
          <w:tab w:val="left" w:pos="1245"/>
        </w:tabs>
        <w:spacing w:after="0" w:line="360" w:lineRule="auto"/>
        <w:ind w:left="714" w:hanging="357"/>
      </w:pPr>
      <w:r>
        <w:t>CDB (Certificado de Depósito Bancário);</w:t>
      </w:r>
    </w:p>
    <w:p w14:paraId="615AD190" w14:textId="2E0A586B" w:rsidR="008B3EFB" w:rsidRPr="008B3EFB" w:rsidRDefault="008B3EFB" w:rsidP="008B3EFB">
      <w:pPr>
        <w:numPr>
          <w:ilvl w:val="0"/>
          <w:numId w:val="3"/>
        </w:numPr>
        <w:shd w:val="clear" w:color="auto" w:fill="FFFFFF"/>
        <w:spacing w:after="0" w:line="360" w:lineRule="auto"/>
        <w:ind w:left="714" w:hanging="357"/>
        <w:rPr>
          <w:rFonts w:eastAsia="Times New Roman"/>
          <w:color w:val="000000" w:themeColor="text1"/>
          <w:lang w:eastAsia="pt-BR"/>
        </w:rPr>
      </w:pPr>
      <w:r w:rsidRPr="008B3EFB">
        <w:rPr>
          <w:rFonts w:eastAsia="Times New Roman"/>
          <w:color w:val="000000" w:themeColor="text1"/>
          <w:lang w:eastAsia="pt-BR"/>
        </w:rPr>
        <w:t>LCI e LCA (Letras de crédito isentas do Imposto de Renda)</w:t>
      </w:r>
      <w:r>
        <w:rPr>
          <w:rFonts w:eastAsia="Times New Roman"/>
          <w:color w:val="000000" w:themeColor="text1"/>
          <w:lang w:eastAsia="pt-BR"/>
        </w:rPr>
        <w:t>;</w:t>
      </w:r>
    </w:p>
    <w:p w14:paraId="3AB811D4" w14:textId="0F0AD7ED" w:rsidR="008B3EFB" w:rsidRPr="008B3EFB" w:rsidRDefault="008B3EFB" w:rsidP="008B3EFB">
      <w:pPr>
        <w:numPr>
          <w:ilvl w:val="0"/>
          <w:numId w:val="3"/>
        </w:numPr>
        <w:shd w:val="clear" w:color="auto" w:fill="FFFFFF"/>
        <w:spacing w:after="0" w:line="360" w:lineRule="auto"/>
        <w:ind w:left="714" w:hanging="357"/>
        <w:rPr>
          <w:rFonts w:eastAsia="Times New Roman"/>
          <w:color w:val="000000" w:themeColor="text1"/>
          <w:lang w:eastAsia="pt-BR"/>
        </w:rPr>
      </w:pPr>
      <w:r w:rsidRPr="008B3EFB">
        <w:rPr>
          <w:rFonts w:eastAsia="Times New Roman"/>
          <w:color w:val="000000" w:themeColor="text1"/>
          <w:lang w:eastAsia="pt-BR"/>
        </w:rPr>
        <w:t>LC (Letras de câmbio);</w:t>
      </w:r>
    </w:p>
    <w:p w14:paraId="60737F2F" w14:textId="77777777" w:rsidR="008B3EFB" w:rsidRPr="008B3EFB" w:rsidRDefault="008B3EFB" w:rsidP="008B3EFB">
      <w:pPr>
        <w:numPr>
          <w:ilvl w:val="0"/>
          <w:numId w:val="3"/>
        </w:numPr>
        <w:shd w:val="clear" w:color="auto" w:fill="FFFFFF"/>
        <w:spacing w:after="0" w:line="360" w:lineRule="auto"/>
        <w:ind w:left="714" w:hanging="357"/>
        <w:rPr>
          <w:rFonts w:eastAsia="Times New Roman"/>
          <w:color w:val="000000" w:themeColor="text1"/>
          <w:lang w:eastAsia="pt-BR"/>
        </w:rPr>
      </w:pPr>
      <w:r w:rsidRPr="008B3EFB">
        <w:rPr>
          <w:rFonts w:eastAsia="Times New Roman"/>
          <w:color w:val="000000" w:themeColor="text1"/>
          <w:lang w:eastAsia="pt-BR"/>
        </w:rPr>
        <w:t>Fundos de Renda Fixa</w:t>
      </w:r>
    </w:p>
    <w:p w14:paraId="3B037C80" w14:textId="493E1FA6" w:rsidR="008B3EFB" w:rsidRDefault="008B3EFB" w:rsidP="008B3EFB">
      <w:pPr>
        <w:pStyle w:val="PargrafodaLista"/>
        <w:tabs>
          <w:tab w:val="left" w:pos="1245"/>
        </w:tabs>
      </w:pPr>
    </w:p>
    <w:p w14:paraId="6F510190" w14:textId="7BBD9B33" w:rsidR="008B3EFB" w:rsidRPr="00BA136C" w:rsidRDefault="00BA136C" w:rsidP="00BA136C">
      <w:pPr>
        <w:tabs>
          <w:tab w:val="left" w:pos="1245"/>
        </w:tabs>
        <w:spacing w:after="0" w:line="360" w:lineRule="auto"/>
        <w:ind w:firstLine="709"/>
        <w:rPr>
          <w:color w:val="000000" w:themeColor="text1"/>
        </w:rPr>
      </w:pPr>
      <w:r w:rsidRPr="00BA136C">
        <w:rPr>
          <w:color w:val="000000" w:themeColor="text1"/>
          <w:shd w:val="clear" w:color="auto" w:fill="FFFFFF"/>
        </w:rPr>
        <w:t xml:space="preserve">Todos esses investimentos são títulos de créditos emitidos por alguma organização como o Governo (Tesouro Direto), bancos (CDBs, </w:t>
      </w:r>
      <w:proofErr w:type="spellStart"/>
      <w:r w:rsidRPr="00BA136C">
        <w:rPr>
          <w:color w:val="000000" w:themeColor="text1"/>
          <w:shd w:val="clear" w:color="auto" w:fill="FFFFFF"/>
        </w:rPr>
        <w:t>LCIs</w:t>
      </w:r>
      <w:proofErr w:type="spellEnd"/>
      <w:r w:rsidRPr="00BA136C">
        <w:rPr>
          <w:color w:val="000000" w:themeColor="text1"/>
          <w:shd w:val="clear" w:color="auto" w:fill="FFFFFF"/>
        </w:rPr>
        <w:t xml:space="preserve"> e </w:t>
      </w:r>
      <w:proofErr w:type="spellStart"/>
      <w:r w:rsidRPr="00BA136C">
        <w:rPr>
          <w:color w:val="000000" w:themeColor="text1"/>
          <w:shd w:val="clear" w:color="auto" w:fill="FFFFFF"/>
        </w:rPr>
        <w:t>LCAs</w:t>
      </w:r>
      <w:proofErr w:type="spellEnd"/>
      <w:r w:rsidRPr="00BA136C">
        <w:rPr>
          <w:color w:val="000000" w:themeColor="text1"/>
          <w:shd w:val="clear" w:color="auto" w:fill="FFFFFF"/>
        </w:rPr>
        <w:t>) ou financeiras (</w:t>
      </w:r>
      <w:proofErr w:type="spellStart"/>
      <w:r w:rsidRPr="00BA136C">
        <w:rPr>
          <w:color w:val="000000" w:themeColor="text1"/>
          <w:shd w:val="clear" w:color="auto" w:fill="FFFFFF"/>
        </w:rPr>
        <w:t>LCs</w:t>
      </w:r>
      <w:proofErr w:type="spellEnd"/>
      <w:r w:rsidRPr="00BA136C">
        <w:rPr>
          <w:color w:val="000000" w:themeColor="text1"/>
          <w:shd w:val="clear" w:color="auto" w:fill="FFFFFF"/>
        </w:rPr>
        <w:t>).</w:t>
      </w:r>
      <w:r>
        <w:rPr>
          <w:color w:val="000000" w:themeColor="text1"/>
          <w:shd w:val="clear" w:color="auto" w:fill="FFFFFF"/>
        </w:rPr>
        <w:t xml:space="preserve"> </w:t>
      </w:r>
      <w:r w:rsidR="008B3EFB" w:rsidRPr="00BA136C">
        <w:rPr>
          <w:color w:val="000000" w:themeColor="text1"/>
        </w:rPr>
        <w:t>Nesse projeto, será abordado o Tesouro Direto e CDB.</w:t>
      </w:r>
    </w:p>
    <w:p w14:paraId="1C0E50B8" w14:textId="6C3B54AB" w:rsidR="008B3EFB" w:rsidRDefault="008B3EFB" w:rsidP="008B3EFB">
      <w:pPr>
        <w:pStyle w:val="PargrafodaLista"/>
        <w:tabs>
          <w:tab w:val="left" w:pos="1245"/>
        </w:tabs>
      </w:pPr>
    </w:p>
    <w:p w14:paraId="0384AC1B" w14:textId="2762D887" w:rsidR="00ED595A" w:rsidRDefault="00ED595A" w:rsidP="00ED595A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7B1B69">
        <w:rPr>
          <w:rFonts w:ascii="Arial" w:hAnsi="Arial" w:cs="Arial"/>
          <w:b/>
          <w:bCs/>
          <w:color w:val="000000" w:themeColor="text1"/>
        </w:rPr>
        <w:lastRenderedPageBreak/>
        <w:t xml:space="preserve">Investimentos em Renda </w:t>
      </w:r>
      <w:r>
        <w:rPr>
          <w:rFonts w:ascii="Arial" w:hAnsi="Arial" w:cs="Arial"/>
          <w:b/>
          <w:bCs/>
          <w:color w:val="000000" w:themeColor="text1"/>
        </w:rPr>
        <w:t>Variável</w:t>
      </w:r>
      <w:r w:rsidRPr="005F78E3"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0000" w:themeColor="text1"/>
        </w:rPr>
        <w:t xml:space="preserve"> </w:t>
      </w:r>
      <w:r w:rsidRPr="00ED595A">
        <w:rPr>
          <w:rFonts w:ascii="Arial" w:hAnsi="Arial" w:cs="Arial"/>
          <w:color w:val="000000" w:themeColor="text1"/>
        </w:rPr>
        <w:t>Diferente da renda fixa onde é possível estimar o retorno, a renda variável reúne os investimentos onde existem oscilações imprevisíveis determinadas por diversos fatores difíceis de controlar. Dessa forma, o investimento pode performar bem ou até dar prejuízo. No entanto, esses ativos, por terem mais risco, também têm mais chances de trazer uma rentabilidade maior que a renda fixa. Essa é uma lei do mercado. Quanto maior a chance de lucro, maior a chance de perda. É preciso equilibrar esses fatores na hora de</w:t>
      </w:r>
      <w:r w:rsidRPr="00ED595A">
        <w:rPr>
          <w:rFonts w:ascii="Arial" w:hAnsi="Arial" w:cs="Arial"/>
          <w:b/>
          <w:bCs/>
          <w:color w:val="000000" w:themeColor="text1"/>
        </w:rPr>
        <w:t> </w:t>
      </w:r>
      <w:r w:rsidRPr="00ED595A">
        <w:rPr>
          <w:rFonts w:ascii="Arial" w:hAnsi="Arial" w:cs="Arial"/>
          <w:color w:val="000000" w:themeColor="text1"/>
        </w:rPr>
        <w:t xml:space="preserve">escolher um investimento. </w:t>
      </w:r>
      <w:r>
        <w:rPr>
          <w:rFonts w:ascii="Arial" w:hAnsi="Arial" w:cs="Arial"/>
          <w:color w:val="000000" w:themeColor="text1"/>
        </w:rPr>
        <w:t>Os títulos</w:t>
      </w:r>
      <w:r w:rsidRPr="00ED595A">
        <w:rPr>
          <w:rFonts w:ascii="Arial" w:hAnsi="Arial" w:cs="Arial"/>
          <w:color w:val="000000" w:themeColor="text1"/>
        </w:rPr>
        <w:t xml:space="preserve"> mais populares desse segmento</w:t>
      </w:r>
      <w:r>
        <w:rPr>
          <w:rFonts w:ascii="Arial" w:hAnsi="Arial" w:cs="Arial"/>
          <w:color w:val="000000" w:themeColor="text1"/>
        </w:rPr>
        <w:t xml:space="preserve"> são</w:t>
      </w:r>
      <w:r w:rsidRPr="00ED595A">
        <w:rPr>
          <w:rFonts w:ascii="Arial" w:hAnsi="Arial" w:cs="Arial"/>
          <w:color w:val="000000" w:themeColor="text1"/>
        </w:rPr>
        <w:t>:</w:t>
      </w:r>
    </w:p>
    <w:p w14:paraId="13CB3B5D" w14:textId="77777777" w:rsidR="00ED595A" w:rsidRPr="00ED595A" w:rsidRDefault="00ED595A" w:rsidP="00ED595A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 w:themeColor="text1"/>
        </w:rPr>
      </w:pPr>
    </w:p>
    <w:p w14:paraId="76B1110F" w14:textId="77777777" w:rsidR="00ED595A" w:rsidRPr="00ED595A" w:rsidRDefault="00F93592" w:rsidP="00ED595A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eastAsia="pt-BR"/>
        </w:rPr>
      </w:pPr>
      <w:hyperlink r:id="rId6" w:tgtFrame="_blank" w:history="1">
        <w:r w:rsidR="00ED595A" w:rsidRPr="00ED595A">
          <w:rPr>
            <w:rFonts w:eastAsia="Times New Roman"/>
            <w:color w:val="000000" w:themeColor="text1"/>
            <w:lang w:eastAsia="pt-BR"/>
          </w:rPr>
          <w:t>Fundos Multimercado</w:t>
        </w:r>
      </w:hyperlink>
      <w:r w:rsidR="00ED595A" w:rsidRPr="00ED595A">
        <w:rPr>
          <w:rFonts w:eastAsia="Times New Roman"/>
          <w:color w:val="000000" w:themeColor="text1"/>
          <w:lang w:eastAsia="pt-BR"/>
        </w:rPr>
        <w:t> (mescla renda fixa e renda variável)</w:t>
      </w:r>
    </w:p>
    <w:p w14:paraId="01E86816" w14:textId="77777777" w:rsidR="00ED595A" w:rsidRPr="00ED595A" w:rsidRDefault="00F93592" w:rsidP="00ED595A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eastAsia="pt-BR"/>
        </w:rPr>
      </w:pPr>
      <w:hyperlink r:id="rId7" w:tgtFrame="_blank" w:history="1">
        <w:r w:rsidR="00ED595A" w:rsidRPr="00ED595A">
          <w:rPr>
            <w:rFonts w:eastAsia="Times New Roman"/>
            <w:color w:val="000000" w:themeColor="text1"/>
            <w:lang w:eastAsia="pt-BR"/>
          </w:rPr>
          <w:t>Fundos Imobiliários</w:t>
        </w:r>
      </w:hyperlink>
      <w:r w:rsidR="00ED595A" w:rsidRPr="00ED595A">
        <w:rPr>
          <w:rFonts w:eastAsia="Times New Roman"/>
          <w:color w:val="000000" w:themeColor="text1"/>
          <w:lang w:eastAsia="pt-BR"/>
        </w:rPr>
        <w:t> (destinado a empreendimento imobiliários)</w:t>
      </w:r>
    </w:p>
    <w:p w14:paraId="4BEDBC61" w14:textId="77777777" w:rsidR="00ED595A" w:rsidRPr="00ED595A" w:rsidRDefault="00ED595A" w:rsidP="00ED595A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eastAsia="pt-BR"/>
        </w:rPr>
      </w:pPr>
      <w:r w:rsidRPr="00ED595A">
        <w:rPr>
          <w:rFonts w:eastAsia="Times New Roman"/>
          <w:color w:val="000000" w:themeColor="text1"/>
          <w:lang w:eastAsia="pt-BR"/>
        </w:rPr>
        <w:t>Fundos de Ações (objetivo de seguir índices como o Ibovespa)</w:t>
      </w:r>
    </w:p>
    <w:p w14:paraId="7A60AB68" w14:textId="77777777" w:rsidR="00ED595A" w:rsidRPr="00ED595A" w:rsidRDefault="00F93592" w:rsidP="00ED595A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eastAsia="pt-BR"/>
        </w:rPr>
      </w:pPr>
      <w:hyperlink r:id="rId8" w:tgtFrame="_blank" w:history="1">
        <w:r w:rsidR="00ED595A" w:rsidRPr="00ED595A">
          <w:rPr>
            <w:rFonts w:eastAsia="Times New Roman"/>
            <w:color w:val="000000" w:themeColor="text1"/>
            <w:lang w:eastAsia="pt-BR"/>
          </w:rPr>
          <w:t>COE (Certificado de Operações Estruturadas)</w:t>
        </w:r>
      </w:hyperlink>
    </w:p>
    <w:p w14:paraId="699CA146" w14:textId="77777777" w:rsidR="00ED595A" w:rsidRPr="00ED595A" w:rsidRDefault="00ED595A" w:rsidP="00ED595A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eastAsia="pt-BR"/>
        </w:rPr>
      </w:pPr>
      <w:r w:rsidRPr="00ED595A">
        <w:rPr>
          <w:rFonts w:eastAsia="Times New Roman"/>
          <w:color w:val="000000" w:themeColor="text1"/>
          <w:lang w:eastAsia="pt-BR"/>
        </w:rPr>
        <w:t>Mercado de Ações (compra e venda de papéis ou lucro com dividendos)</w:t>
      </w:r>
    </w:p>
    <w:p w14:paraId="38E3FB3B" w14:textId="77777777" w:rsidR="00ED595A" w:rsidRPr="00ED595A" w:rsidRDefault="00ED595A" w:rsidP="00ED595A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eastAsia="pt-BR"/>
        </w:rPr>
      </w:pPr>
      <w:r w:rsidRPr="00ED595A">
        <w:rPr>
          <w:rFonts w:eastAsia="Times New Roman"/>
          <w:color w:val="000000" w:themeColor="text1"/>
          <w:lang w:eastAsia="pt-BR"/>
        </w:rPr>
        <w:t>Mercado de Opções (índice ou dólar)</w:t>
      </w:r>
    </w:p>
    <w:p w14:paraId="3B2C1C4F" w14:textId="16196805" w:rsidR="008B3EFB" w:rsidRDefault="008B3EFB" w:rsidP="008B3EFB">
      <w:pPr>
        <w:pStyle w:val="PargrafodaLista"/>
        <w:tabs>
          <w:tab w:val="left" w:pos="1245"/>
        </w:tabs>
      </w:pPr>
    </w:p>
    <w:p w14:paraId="0B280856" w14:textId="306150D3" w:rsidR="00ED595A" w:rsidRPr="0086452D" w:rsidRDefault="0086452D" w:rsidP="008B3EFB">
      <w:pPr>
        <w:pStyle w:val="PargrafodaLista"/>
        <w:tabs>
          <w:tab w:val="left" w:pos="1245"/>
        </w:tabs>
        <w:rPr>
          <w:rStyle w:val="Hiperlink"/>
        </w:rPr>
      </w:pPr>
      <w:r>
        <w:fldChar w:fldCharType="begin"/>
      </w:r>
      <w:r>
        <w:instrText xml:space="preserve"> HYPERLINK "https://blog.rico.com.vc/tipos-de-investimentos?campaignid=316171546&amp;adgroupid=55392294370&amp;feeditemid=&amp;targetid=aud-437331571629:dsa-19959388920&amp;loc_interest_ms=&amp;loc_physical_ms=1001776&amp;matchtype=b&amp;network=g&amp;device=c&amp;devicemodel=&amp;ifmobile=&amp;ifmobi" </w:instrText>
      </w:r>
      <w:r>
        <w:fldChar w:fldCharType="separate"/>
      </w:r>
      <w:r>
        <w:rPr>
          <w:rStyle w:val="Hiperlink"/>
        </w:rPr>
        <w:t>Fonte</w:t>
      </w:r>
    </w:p>
    <w:p w14:paraId="08C733C5" w14:textId="09BFD5D1" w:rsidR="00ED595A" w:rsidRDefault="0086452D" w:rsidP="0086452D">
      <w:pPr>
        <w:pStyle w:val="PargrafodaLista"/>
        <w:tabs>
          <w:tab w:val="left" w:pos="1245"/>
        </w:tabs>
      </w:pPr>
      <w:r>
        <w:fldChar w:fldCharType="end"/>
      </w:r>
    </w:p>
    <w:p w14:paraId="629F8F3B" w14:textId="77777777" w:rsidR="00F93592" w:rsidRDefault="00F93592" w:rsidP="006F4C70">
      <w:pPr>
        <w:pStyle w:val="PargrafodaLista"/>
        <w:tabs>
          <w:tab w:val="left" w:pos="1245"/>
        </w:tabs>
        <w:spacing w:after="0" w:line="360" w:lineRule="auto"/>
        <w:ind w:left="0" w:firstLine="709"/>
        <w:jc w:val="both"/>
        <w:rPr>
          <w:b/>
          <w:bCs/>
          <w:color w:val="000000" w:themeColor="text1"/>
        </w:rPr>
      </w:pPr>
    </w:p>
    <w:p w14:paraId="388E0888" w14:textId="5729F700" w:rsidR="006F4C70" w:rsidRDefault="00ED595A" w:rsidP="006F4C70">
      <w:pPr>
        <w:pStyle w:val="PargrafodaLista"/>
        <w:tabs>
          <w:tab w:val="left" w:pos="1245"/>
        </w:tabs>
        <w:spacing w:after="0" w:line="360" w:lineRule="auto"/>
        <w:ind w:left="0" w:firstLine="709"/>
        <w:jc w:val="both"/>
        <w:rPr>
          <w:color w:val="000000" w:themeColor="text1"/>
        </w:rPr>
      </w:pPr>
      <w:r w:rsidRPr="006F4C70">
        <w:rPr>
          <w:b/>
          <w:bCs/>
          <w:color w:val="000000" w:themeColor="text1"/>
        </w:rPr>
        <w:t>Tesouro Direto</w:t>
      </w:r>
      <w:r w:rsidRPr="006F4C70">
        <w:rPr>
          <w:color w:val="000000" w:themeColor="text1"/>
        </w:rPr>
        <w:t xml:space="preserve">: </w:t>
      </w:r>
      <w:r w:rsidR="006F4C70" w:rsidRPr="006F4C70">
        <w:rPr>
          <w:color w:val="000000" w:themeColor="text1"/>
        </w:rPr>
        <w:t>O Tesouro Direto é um Programa do Tesouro Nacional desenvolvido em parceria com a B3</w:t>
      </w:r>
      <w:r w:rsidR="006F4C70">
        <w:rPr>
          <w:color w:val="000000" w:themeColor="text1"/>
        </w:rPr>
        <w:t xml:space="preserve"> (Atual Bolsa de Valores Brasileira) </w:t>
      </w:r>
      <w:r w:rsidR="006F4C70" w:rsidRPr="006F4C70">
        <w:rPr>
          <w:color w:val="000000" w:themeColor="text1"/>
        </w:rPr>
        <w:t xml:space="preserve">para venda de títulos públicos </w:t>
      </w:r>
      <w:r w:rsidR="006F4C70">
        <w:rPr>
          <w:color w:val="000000" w:themeColor="text1"/>
        </w:rPr>
        <w:t xml:space="preserve">(de renda fixa) </w:t>
      </w:r>
      <w:r w:rsidR="006F4C70" w:rsidRPr="006F4C70">
        <w:rPr>
          <w:color w:val="000000" w:themeColor="text1"/>
        </w:rPr>
        <w:t>federais para pessoas físicas, de forma </w:t>
      </w:r>
      <w:r w:rsidR="006F4C70" w:rsidRPr="006F4C70">
        <w:rPr>
          <w:rStyle w:val="Forte"/>
          <w:b w:val="0"/>
          <w:bCs w:val="0"/>
          <w:color w:val="000000" w:themeColor="text1"/>
        </w:rPr>
        <w:t>100% online</w:t>
      </w:r>
      <w:r w:rsidR="006F4C70" w:rsidRPr="006F4C70">
        <w:rPr>
          <w:b/>
          <w:bCs/>
          <w:color w:val="000000" w:themeColor="text1"/>
        </w:rPr>
        <w:t>.</w:t>
      </w:r>
      <w:r w:rsidR="006F4C70" w:rsidRPr="006F4C70">
        <w:rPr>
          <w:color w:val="000000" w:themeColor="text1"/>
        </w:rPr>
        <w:t xml:space="preserve"> </w:t>
      </w:r>
    </w:p>
    <w:p w14:paraId="6AEFEC0E" w14:textId="10F621C9" w:rsidR="00ED595A" w:rsidRDefault="006F4C70" w:rsidP="006F4C70">
      <w:pPr>
        <w:pStyle w:val="PargrafodaLista"/>
        <w:tabs>
          <w:tab w:val="left" w:pos="1245"/>
        </w:tabs>
        <w:spacing w:after="0" w:line="360" w:lineRule="auto"/>
        <w:ind w:left="0" w:firstLine="709"/>
        <w:jc w:val="both"/>
        <w:rPr>
          <w:color w:val="182940"/>
        </w:rPr>
      </w:pPr>
      <w:r w:rsidRPr="006F4C70">
        <w:rPr>
          <w:color w:val="000000" w:themeColor="text1"/>
        </w:rPr>
        <w:t>Lançado em 2002, o Programa surgiu com o objetivo de democratizar o acesso aos títulos públicos, permitindo aplicações a partir </w:t>
      </w:r>
      <w:r w:rsidRPr="006F4C70">
        <w:rPr>
          <w:rStyle w:val="Forte"/>
          <w:b w:val="0"/>
          <w:bCs w:val="0"/>
          <w:color w:val="000000" w:themeColor="text1"/>
        </w:rPr>
        <w:t>R$ 30,00.</w:t>
      </w:r>
      <w:r w:rsidRPr="006F4C70">
        <w:rPr>
          <w:color w:val="000000" w:themeColor="text1"/>
        </w:rPr>
        <w:t xml:space="preserve"> O Tesouro Direto é uma excelente alternativa de investimento pois oferece títulos com diferentes tipos de rentabilidade (prefixada, ligada à variação da inflação ou à variação da taxa de juros básica da economia - Selic), diferentes prazos de vencimento e também diferentes fluxos de remuneração</w:t>
      </w:r>
      <w:r>
        <w:rPr>
          <w:color w:val="000000" w:themeColor="text1"/>
        </w:rPr>
        <w:t xml:space="preserve"> </w:t>
      </w:r>
      <w:r>
        <w:rPr>
          <w:color w:val="182940"/>
        </w:rPr>
        <w:t>(</w:t>
      </w:r>
      <w:hyperlink r:id="rId9" w:history="1">
        <w:r w:rsidRPr="00183D7B">
          <w:rPr>
            <w:rStyle w:val="Hiperlink"/>
          </w:rPr>
          <w:t>https://www.tesourodireto.com.br/conheca/conheca-o-tesouro-direto.htm</w:t>
        </w:r>
      </w:hyperlink>
      <w:r>
        <w:rPr>
          <w:color w:val="182940"/>
        </w:rPr>
        <w:t>).</w:t>
      </w:r>
    </w:p>
    <w:p w14:paraId="4D7AE8BF" w14:textId="3C8565D0" w:rsidR="006F4C70" w:rsidRDefault="006F4C70" w:rsidP="006F4C70">
      <w:pPr>
        <w:pStyle w:val="PargrafodaLista"/>
        <w:tabs>
          <w:tab w:val="left" w:pos="1245"/>
        </w:tabs>
        <w:spacing w:after="0" w:line="360" w:lineRule="auto"/>
        <w:ind w:left="0" w:firstLine="709"/>
        <w:jc w:val="both"/>
      </w:pPr>
      <w:r>
        <w:t xml:space="preserve">Atualmente, o Tesouro Direto contempla vários tipos de títulos, como: Tesouro Prefixado 2024; Tesouro Prefixado 2026; Tesouro Prefixado com juros semestrais 2031; Tesouro Selic 2024; Tesouro Selic 2027 e Tesouros </w:t>
      </w:r>
      <w:proofErr w:type="spellStart"/>
      <w:r>
        <w:t>IPCA’s</w:t>
      </w:r>
      <w:proofErr w:type="spellEnd"/>
      <w:r>
        <w:t>. Nesse trabalho será adotado como exemplo, o Tesouro Direto 2024, com resgate em julho de 2024.</w:t>
      </w:r>
    </w:p>
    <w:p w14:paraId="2B83F2D3" w14:textId="35F78C98" w:rsidR="006F4C70" w:rsidRDefault="006F4C70" w:rsidP="006F4C70">
      <w:pPr>
        <w:pStyle w:val="PargrafodaLista"/>
        <w:tabs>
          <w:tab w:val="left" w:pos="1245"/>
        </w:tabs>
        <w:spacing w:after="0" w:line="360" w:lineRule="auto"/>
        <w:ind w:left="0" w:firstLine="709"/>
        <w:jc w:val="both"/>
      </w:pPr>
      <w:r>
        <w:lastRenderedPageBreak/>
        <w:t xml:space="preserve">Para tanto, </w:t>
      </w:r>
      <w:r w:rsidR="008F2AAA">
        <w:t>a rentabilidade desse título atualmente gira em torno de 7.28%, esse valor é atualizado diariamente pelo site do Tesouro.</w:t>
      </w:r>
    </w:p>
    <w:p w14:paraId="74D96DFF" w14:textId="57DCA285" w:rsidR="008F2AAA" w:rsidRDefault="008F2AAA" w:rsidP="006F4C70">
      <w:pPr>
        <w:pStyle w:val="PargrafodaLista"/>
        <w:tabs>
          <w:tab w:val="left" w:pos="1245"/>
        </w:tabs>
        <w:spacing w:after="0" w:line="360" w:lineRule="auto"/>
        <w:ind w:left="0" w:firstLine="709"/>
        <w:jc w:val="both"/>
      </w:pPr>
      <w:r>
        <w:t>Para saber o rendimento de um investimento aplicado no Tesouro Prefixado 2024, deve-se atentar a algumas variáveis, como:</w:t>
      </w:r>
    </w:p>
    <w:p w14:paraId="4653B94F" w14:textId="57EBC978" w:rsidR="008F2AAA" w:rsidRDefault="008F2AAA" w:rsidP="008F2AAA">
      <w:pPr>
        <w:pStyle w:val="PargrafodaLista"/>
        <w:numPr>
          <w:ilvl w:val="0"/>
          <w:numId w:val="9"/>
        </w:numPr>
        <w:tabs>
          <w:tab w:val="left" w:pos="1245"/>
        </w:tabs>
        <w:spacing w:after="0" w:line="360" w:lineRule="auto"/>
        <w:jc w:val="both"/>
      </w:pPr>
      <w:r>
        <w:t>Rentabilidade, no caso é 7.28% ao ano;</w:t>
      </w:r>
    </w:p>
    <w:p w14:paraId="0B9CD9D6" w14:textId="7DF8AC2E" w:rsidR="008F2AAA" w:rsidRDefault="008F2AAA" w:rsidP="008F2AAA">
      <w:pPr>
        <w:pStyle w:val="PargrafodaLista"/>
        <w:numPr>
          <w:ilvl w:val="0"/>
          <w:numId w:val="9"/>
        </w:numPr>
        <w:tabs>
          <w:tab w:val="left" w:pos="1245"/>
        </w:tabs>
        <w:spacing w:after="0" w:line="360" w:lineRule="auto"/>
        <w:jc w:val="both"/>
      </w:pPr>
      <w:r>
        <w:t>Aporte inicial, o quanto deseja-se investir de início;</w:t>
      </w:r>
    </w:p>
    <w:p w14:paraId="37BDFD0E" w14:textId="66C7F532" w:rsidR="008F2AAA" w:rsidRDefault="008F2AAA" w:rsidP="008F2AAA">
      <w:pPr>
        <w:pStyle w:val="PargrafodaLista"/>
        <w:numPr>
          <w:ilvl w:val="0"/>
          <w:numId w:val="9"/>
        </w:numPr>
        <w:tabs>
          <w:tab w:val="left" w:pos="1245"/>
        </w:tabs>
        <w:spacing w:after="0" w:line="360" w:lineRule="auto"/>
        <w:jc w:val="both"/>
      </w:pPr>
      <w:r>
        <w:t>Aportes mensais, quanto deseja-se investir mensalmente;</w:t>
      </w:r>
    </w:p>
    <w:p w14:paraId="20166DE9" w14:textId="33FDD8C0" w:rsidR="008F2AAA" w:rsidRDefault="008F2AAA" w:rsidP="008F2AAA">
      <w:pPr>
        <w:pStyle w:val="PargrafodaLista"/>
        <w:numPr>
          <w:ilvl w:val="0"/>
          <w:numId w:val="9"/>
        </w:numPr>
        <w:tabs>
          <w:tab w:val="left" w:pos="1245"/>
        </w:tabs>
        <w:spacing w:after="0" w:line="360" w:lineRule="auto"/>
        <w:jc w:val="both"/>
      </w:pPr>
      <w:r>
        <w:t>Tempo de investimento, que nesse caso, seria prefixado em 2024;</w:t>
      </w:r>
    </w:p>
    <w:p w14:paraId="654EA478" w14:textId="77777777" w:rsidR="008F2AAA" w:rsidRDefault="008F2AAA" w:rsidP="006F4C70">
      <w:pPr>
        <w:pStyle w:val="PargrafodaLista"/>
        <w:tabs>
          <w:tab w:val="left" w:pos="1245"/>
        </w:tabs>
        <w:spacing w:after="0" w:line="360" w:lineRule="auto"/>
        <w:ind w:left="0" w:firstLine="709"/>
        <w:jc w:val="both"/>
      </w:pPr>
    </w:p>
    <w:p w14:paraId="6A369D43" w14:textId="4E2CFF3C" w:rsidR="008F2AAA" w:rsidRDefault="008F2AAA" w:rsidP="006F4C70">
      <w:pPr>
        <w:pStyle w:val="PargrafodaLista"/>
        <w:tabs>
          <w:tab w:val="left" w:pos="1245"/>
        </w:tabs>
        <w:spacing w:after="0" w:line="360" w:lineRule="auto"/>
        <w:ind w:left="0" w:firstLine="709"/>
        <w:jc w:val="both"/>
      </w:pPr>
      <w:r>
        <w:t>Mediante esse caso, pode-se aplicar uma fórmula para calcular o rendimento mensal</w:t>
      </w:r>
    </w:p>
    <w:p w14:paraId="2F488341" w14:textId="0BE02205" w:rsidR="001B0F83" w:rsidRDefault="001B0F83" w:rsidP="006F4C70">
      <w:pPr>
        <w:pStyle w:val="PargrafodaLista"/>
        <w:tabs>
          <w:tab w:val="left" w:pos="1245"/>
        </w:tabs>
        <w:spacing w:after="0" w:line="360" w:lineRule="auto"/>
        <w:ind w:left="0" w:firstLine="709"/>
        <w:jc w:val="both"/>
      </w:pPr>
    </w:p>
    <w:p w14:paraId="3085BF48" w14:textId="12334F02" w:rsidR="001B0F83" w:rsidRPr="001B0F83" w:rsidRDefault="001B0F83" w:rsidP="006F4C70">
      <w:pPr>
        <w:pStyle w:val="PargrafodaLista"/>
        <w:tabs>
          <w:tab w:val="left" w:pos="1245"/>
        </w:tabs>
        <w:spacing w:after="0" w:line="360" w:lineRule="auto"/>
        <w:ind w:left="0"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Rm=(Ti+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 x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</m:oMath>
      </m:oMathPara>
    </w:p>
    <w:p w14:paraId="28DB4091" w14:textId="77777777" w:rsidR="001B0F83" w:rsidRDefault="001B0F83" w:rsidP="006F4C70">
      <w:pPr>
        <w:pStyle w:val="PargrafodaLista"/>
        <w:tabs>
          <w:tab w:val="left" w:pos="1245"/>
        </w:tabs>
        <w:spacing w:after="0" w:line="360" w:lineRule="auto"/>
        <w:ind w:left="0" w:firstLine="709"/>
        <w:jc w:val="both"/>
      </w:pPr>
    </w:p>
    <w:p w14:paraId="3CCE1776" w14:textId="2B74246C" w:rsidR="008F2AAA" w:rsidRDefault="001B0F83" w:rsidP="006F4C70">
      <w:pPr>
        <w:pStyle w:val="PargrafodaLista"/>
        <w:tabs>
          <w:tab w:val="left" w:pos="1245"/>
        </w:tabs>
        <w:spacing w:after="0" w:line="360" w:lineRule="auto"/>
        <w:ind w:left="0" w:firstLine="709"/>
        <w:jc w:val="both"/>
      </w:pPr>
      <w:r>
        <w:t xml:space="preserve">Onde </w:t>
      </w:r>
      <w:proofErr w:type="spellStart"/>
      <w:r>
        <w:t>Rm</w:t>
      </w:r>
      <w:proofErr w:type="spellEnd"/>
      <w:r>
        <w:t xml:space="preserve"> é o rendimento mensal</w:t>
      </w:r>
      <w:r w:rsidR="001C425A">
        <w:t xml:space="preserve"> (R$)</w:t>
      </w:r>
      <w:r>
        <w:t>; Ti o total investido no mês</w:t>
      </w:r>
      <w:r w:rsidR="001C425A">
        <w:t xml:space="preserve"> (R$)</w:t>
      </w:r>
      <w:r w:rsidR="00626D12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626D12">
        <w:rPr>
          <w:rFonts w:eastAsiaTheme="minorEastAsia"/>
        </w:rPr>
        <w:t>é o rendimento mensal do mês anterior</w:t>
      </w:r>
      <w:r w:rsidR="001C425A">
        <w:rPr>
          <w:rFonts w:eastAsiaTheme="minorEastAsia"/>
        </w:rPr>
        <w:t xml:space="preserve"> (R$)</w:t>
      </w:r>
      <w:r w:rsidR="00626D12">
        <w:rPr>
          <w:rFonts w:eastAsiaTheme="minorEastAsia"/>
        </w:rPr>
        <w:t xml:space="preserve">, </w:t>
      </w:r>
      <w:r>
        <w:t>e Ra a Rentabilidade anual</w:t>
      </w:r>
      <w:r w:rsidR="00626D12">
        <w:t xml:space="preserve"> (7.28%)</w:t>
      </w:r>
      <w:r>
        <w:t>.</w:t>
      </w:r>
    </w:p>
    <w:p w14:paraId="020492C5" w14:textId="2B699999" w:rsidR="00EC67AC" w:rsidRDefault="001E6742" w:rsidP="006F4C70">
      <w:pPr>
        <w:pStyle w:val="PargrafodaLista"/>
        <w:tabs>
          <w:tab w:val="left" w:pos="1245"/>
        </w:tabs>
        <w:spacing w:after="0" w:line="360" w:lineRule="auto"/>
        <w:ind w:left="0" w:firstLine="709"/>
        <w:jc w:val="both"/>
      </w:pPr>
      <w:r>
        <w:t>Esse trabalho considerou um investimento inicial de R$ 1000,00 com aportes mensais de R$ 100,00.</w:t>
      </w:r>
    </w:p>
    <w:p w14:paraId="21A615F5" w14:textId="4677EE7A" w:rsidR="00B0267C" w:rsidRDefault="007C1D3F" w:rsidP="006F4C70">
      <w:pPr>
        <w:pStyle w:val="PargrafodaLista"/>
        <w:tabs>
          <w:tab w:val="left" w:pos="1245"/>
        </w:tabs>
        <w:spacing w:after="0" w:line="360" w:lineRule="auto"/>
        <w:ind w:left="0" w:firstLine="709"/>
        <w:jc w:val="both"/>
      </w:pPr>
      <w:r>
        <w:t>Para tanto, são descontados ao final da aplicação, taxas, como o Imposto de Renda (IR) e taxa B3.</w:t>
      </w:r>
    </w:p>
    <w:p w14:paraId="1977E3F5" w14:textId="601E285E" w:rsidR="00E14F58" w:rsidRDefault="007C1D3F" w:rsidP="00F93592">
      <w:pPr>
        <w:pStyle w:val="PargrafodaLista"/>
        <w:tabs>
          <w:tab w:val="left" w:pos="1245"/>
        </w:tabs>
        <w:spacing w:after="0" w:line="360" w:lineRule="auto"/>
        <w:ind w:left="0" w:firstLine="709"/>
        <w:jc w:val="both"/>
      </w:pPr>
      <w:r>
        <w:t>A taxa do IR é relativa ao tempo de investimento, sendo aplicada sobre o lucro, ou rendimento total, seguindo a tabela a seguir:</w:t>
      </w:r>
    </w:p>
    <w:p w14:paraId="31D46E5B" w14:textId="77777777" w:rsidR="00E14F58" w:rsidRDefault="00E14F58" w:rsidP="006F4C70">
      <w:pPr>
        <w:pStyle w:val="PargrafodaLista"/>
        <w:tabs>
          <w:tab w:val="left" w:pos="1245"/>
        </w:tabs>
        <w:spacing w:after="0" w:line="360" w:lineRule="auto"/>
        <w:ind w:left="0" w:firstLine="709"/>
        <w:jc w:val="both"/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7C1D3F" w14:paraId="7F249B8C" w14:textId="77777777" w:rsidTr="007C1D3F">
        <w:trPr>
          <w:jc w:val="center"/>
        </w:trPr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50BD36C" w14:textId="7767706C" w:rsidR="007C1D3F" w:rsidRPr="007C1D3F" w:rsidRDefault="007C1D3F" w:rsidP="007C1D3F">
            <w:pPr>
              <w:pStyle w:val="PargrafodaLista"/>
              <w:tabs>
                <w:tab w:val="left" w:pos="1245"/>
              </w:tabs>
              <w:spacing w:line="360" w:lineRule="auto"/>
              <w:ind w:left="0"/>
              <w:jc w:val="center"/>
              <w:rPr>
                <w:b/>
                <w:bCs/>
              </w:rPr>
            </w:pPr>
            <w:r w:rsidRPr="007C1D3F">
              <w:rPr>
                <w:b/>
                <w:bCs/>
              </w:rPr>
              <w:t>N° de dias</w:t>
            </w:r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51BA9CF7" w14:textId="76F0FE7A" w:rsidR="007C1D3F" w:rsidRPr="007C1D3F" w:rsidRDefault="007C1D3F" w:rsidP="007C1D3F">
            <w:pPr>
              <w:pStyle w:val="PargrafodaLista"/>
              <w:tabs>
                <w:tab w:val="left" w:pos="1245"/>
              </w:tabs>
              <w:spacing w:line="360" w:lineRule="auto"/>
              <w:ind w:left="0"/>
              <w:jc w:val="center"/>
              <w:rPr>
                <w:b/>
                <w:bCs/>
              </w:rPr>
            </w:pPr>
            <w:r w:rsidRPr="007C1D3F">
              <w:rPr>
                <w:b/>
                <w:bCs/>
              </w:rPr>
              <w:t>IR (%)</w:t>
            </w:r>
          </w:p>
        </w:tc>
      </w:tr>
      <w:tr w:rsidR="007C1D3F" w14:paraId="3044EBDC" w14:textId="77777777" w:rsidTr="007C1D3F">
        <w:trPr>
          <w:jc w:val="center"/>
        </w:trPr>
        <w:tc>
          <w:tcPr>
            <w:tcW w:w="4530" w:type="dxa"/>
            <w:tcBorders>
              <w:top w:val="single" w:sz="4" w:space="0" w:color="auto"/>
            </w:tcBorders>
          </w:tcPr>
          <w:p w14:paraId="3A7058AC" w14:textId="4B237A32" w:rsidR="007C1D3F" w:rsidRDefault="007C1D3F" w:rsidP="007C1D3F">
            <w:pPr>
              <w:pStyle w:val="PargrafodaLista"/>
              <w:tabs>
                <w:tab w:val="left" w:pos="1245"/>
              </w:tabs>
              <w:spacing w:line="360" w:lineRule="auto"/>
              <w:ind w:left="0"/>
              <w:jc w:val="center"/>
            </w:pPr>
            <w:r>
              <w:t>Até 180 dias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0306A06B" w14:textId="7F7C5076" w:rsidR="007C1D3F" w:rsidRDefault="007C1D3F" w:rsidP="007C1D3F">
            <w:pPr>
              <w:pStyle w:val="PargrafodaLista"/>
              <w:tabs>
                <w:tab w:val="left" w:pos="1245"/>
              </w:tabs>
              <w:spacing w:line="360" w:lineRule="auto"/>
              <w:ind w:left="0"/>
              <w:jc w:val="center"/>
            </w:pPr>
            <w:r>
              <w:t>22.5</w:t>
            </w:r>
          </w:p>
        </w:tc>
      </w:tr>
      <w:tr w:rsidR="007C1D3F" w14:paraId="0B2D639D" w14:textId="77777777" w:rsidTr="007C1D3F">
        <w:trPr>
          <w:jc w:val="center"/>
        </w:trPr>
        <w:tc>
          <w:tcPr>
            <w:tcW w:w="4530" w:type="dxa"/>
          </w:tcPr>
          <w:p w14:paraId="5F19193C" w14:textId="651909D9" w:rsidR="007C1D3F" w:rsidRDefault="007C1D3F" w:rsidP="007C1D3F">
            <w:pPr>
              <w:pStyle w:val="PargrafodaLista"/>
              <w:tabs>
                <w:tab w:val="left" w:pos="1245"/>
              </w:tabs>
              <w:spacing w:line="360" w:lineRule="auto"/>
              <w:ind w:left="0"/>
              <w:jc w:val="center"/>
            </w:pPr>
            <w:r>
              <w:t>De 181 a 360 dias</w:t>
            </w:r>
          </w:p>
        </w:tc>
        <w:tc>
          <w:tcPr>
            <w:tcW w:w="4531" w:type="dxa"/>
          </w:tcPr>
          <w:p w14:paraId="60E9FA1F" w14:textId="7D534B4A" w:rsidR="007C1D3F" w:rsidRDefault="007C1D3F" w:rsidP="007C1D3F">
            <w:pPr>
              <w:pStyle w:val="PargrafodaLista"/>
              <w:tabs>
                <w:tab w:val="left" w:pos="1245"/>
              </w:tabs>
              <w:spacing w:line="360" w:lineRule="auto"/>
              <w:ind w:left="0"/>
              <w:jc w:val="center"/>
            </w:pPr>
            <w:r>
              <w:t>20.0</w:t>
            </w:r>
          </w:p>
        </w:tc>
      </w:tr>
      <w:tr w:rsidR="007C1D3F" w14:paraId="347B8331" w14:textId="77777777" w:rsidTr="007C1D3F">
        <w:trPr>
          <w:jc w:val="center"/>
        </w:trPr>
        <w:tc>
          <w:tcPr>
            <w:tcW w:w="4530" w:type="dxa"/>
            <w:tcBorders>
              <w:bottom w:val="single" w:sz="4" w:space="0" w:color="auto"/>
            </w:tcBorders>
          </w:tcPr>
          <w:p w14:paraId="6753242C" w14:textId="27F51E71" w:rsidR="007C1D3F" w:rsidRDefault="007C1D3F" w:rsidP="007C1D3F">
            <w:pPr>
              <w:pStyle w:val="PargrafodaLista"/>
              <w:tabs>
                <w:tab w:val="left" w:pos="1245"/>
              </w:tabs>
              <w:spacing w:line="360" w:lineRule="auto"/>
              <w:ind w:left="0"/>
              <w:jc w:val="center"/>
            </w:pPr>
            <w:r>
              <w:t>De 361 a 720 dias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7B9F9747" w14:textId="1660C1E1" w:rsidR="007C1D3F" w:rsidRDefault="007C1D3F" w:rsidP="007C1D3F">
            <w:pPr>
              <w:pStyle w:val="PargrafodaLista"/>
              <w:tabs>
                <w:tab w:val="left" w:pos="1245"/>
              </w:tabs>
              <w:spacing w:line="360" w:lineRule="auto"/>
              <w:ind w:left="0"/>
              <w:jc w:val="center"/>
            </w:pPr>
            <w:r>
              <w:t>17.5</w:t>
            </w:r>
          </w:p>
        </w:tc>
      </w:tr>
      <w:tr w:rsidR="007C1D3F" w14:paraId="1EF2E3D4" w14:textId="77777777" w:rsidTr="007C1D3F">
        <w:trPr>
          <w:jc w:val="center"/>
        </w:trPr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0164C725" w14:textId="03DC39AE" w:rsidR="007C1D3F" w:rsidRDefault="007C1D3F" w:rsidP="007C1D3F">
            <w:pPr>
              <w:pStyle w:val="PargrafodaLista"/>
              <w:tabs>
                <w:tab w:val="left" w:pos="1245"/>
              </w:tabs>
              <w:spacing w:line="360" w:lineRule="auto"/>
              <w:ind w:left="0"/>
              <w:jc w:val="center"/>
            </w:pPr>
            <w:r>
              <w:t>Acima de 720 dias</w:t>
            </w:r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12388FD7" w14:textId="5DE6BC0C" w:rsidR="007C1D3F" w:rsidRDefault="007C1D3F" w:rsidP="007C1D3F">
            <w:pPr>
              <w:pStyle w:val="PargrafodaLista"/>
              <w:tabs>
                <w:tab w:val="left" w:pos="1245"/>
              </w:tabs>
              <w:spacing w:line="360" w:lineRule="auto"/>
              <w:ind w:left="0"/>
              <w:jc w:val="center"/>
            </w:pPr>
            <w:r>
              <w:t>15</w:t>
            </w:r>
          </w:p>
        </w:tc>
      </w:tr>
    </w:tbl>
    <w:p w14:paraId="1B2B58BE" w14:textId="77777777" w:rsidR="00F93592" w:rsidRDefault="00F93592" w:rsidP="006F4C70">
      <w:pPr>
        <w:pStyle w:val="PargrafodaLista"/>
        <w:tabs>
          <w:tab w:val="left" w:pos="1245"/>
        </w:tabs>
        <w:spacing w:after="0" w:line="360" w:lineRule="auto"/>
        <w:ind w:left="0" w:firstLine="709"/>
        <w:jc w:val="both"/>
      </w:pPr>
    </w:p>
    <w:p w14:paraId="252FAE23" w14:textId="5F38A553" w:rsidR="007C1D3F" w:rsidRDefault="00F93592" w:rsidP="006F4C70">
      <w:pPr>
        <w:pStyle w:val="PargrafodaLista"/>
        <w:tabs>
          <w:tab w:val="left" w:pos="1245"/>
        </w:tabs>
        <w:spacing w:after="0" w:line="360" w:lineRule="auto"/>
        <w:ind w:left="0" w:firstLine="709"/>
        <w:jc w:val="both"/>
      </w:pPr>
      <w:hyperlink r:id="rId10" w:history="1">
        <w:r w:rsidRPr="00F93592">
          <w:rPr>
            <w:rStyle w:val="Hiperlink"/>
          </w:rPr>
          <w:t>Fonte</w:t>
        </w:r>
      </w:hyperlink>
      <w:r w:rsidR="00F11F35">
        <w:t xml:space="preserve"> </w:t>
      </w:r>
    </w:p>
    <w:p w14:paraId="69EEE5C6" w14:textId="77777777" w:rsidR="003226BB" w:rsidRDefault="003226BB" w:rsidP="006F4C70">
      <w:pPr>
        <w:pStyle w:val="PargrafodaLista"/>
        <w:tabs>
          <w:tab w:val="left" w:pos="1245"/>
        </w:tabs>
        <w:spacing w:after="0" w:line="360" w:lineRule="auto"/>
        <w:ind w:left="0" w:firstLine="709"/>
        <w:jc w:val="both"/>
      </w:pPr>
    </w:p>
    <w:p w14:paraId="226CC2AA" w14:textId="7915B96A" w:rsidR="00F11F35" w:rsidRDefault="003226BB" w:rsidP="003226BB">
      <w:pPr>
        <w:pStyle w:val="PargrafodaLista"/>
        <w:tabs>
          <w:tab w:val="left" w:pos="1245"/>
        </w:tabs>
        <w:spacing w:after="0" w:line="360" w:lineRule="auto"/>
        <w:ind w:left="0" w:firstLine="709"/>
        <w:jc w:val="both"/>
      </w:pPr>
      <w:r>
        <w:lastRenderedPageBreak/>
        <w:t>No caso desse trabalho, como o tempo é superior a 720 dias, a taxa do IR sobre o lucro foi de 15%.</w:t>
      </w:r>
    </w:p>
    <w:p w14:paraId="05F84139" w14:textId="1C52F97B" w:rsidR="005A5F61" w:rsidRDefault="005A5F61" w:rsidP="003226BB">
      <w:pPr>
        <w:tabs>
          <w:tab w:val="left" w:pos="1245"/>
        </w:tabs>
        <w:spacing w:after="0" w:line="360" w:lineRule="auto"/>
        <w:ind w:firstLine="709"/>
        <w:jc w:val="both"/>
      </w:pPr>
      <w:r>
        <w:t xml:space="preserve">Para a taxa B3, atualmente ela gira em torno de 0.25% ao ano. Com isso, para fins de cálculos, foi calculada </w:t>
      </w:r>
      <w:r w:rsidR="004A064E">
        <w:t xml:space="preserve">o valor a ser cobrado </w:t>
      </w:r>
      <w:r>
        <w:t>mensalmente, aplicando a seguinte fórmula:</w:t>
      </w:r>
    </w:p>
    <w:p w14:paraId="193CC3E1" w14:textId="050A3A0D" w:rsidR="003226BB" w:rsidRPr="00EC67AC" w:rsidRDefault="003226BB" w:rsidP="005A5F61">
      <w:pPr>
        <w:tabs>
          <w:tab w:val="left" w:pos="1245"/>
        </w:tabs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B3m=Ti x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Taxa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7461B307" w14:textId="77777777" w:rsidR="00EC67AC" w:rsidRDefault="00EC67AC" w:rsidP="005A5F61">
      <w:pPr>
        <w:tabs>
          <w:tab w:val="left" w:pos="1245"/>
        </w:tabs>
        <w:spacing w:after="0" w:line="360" w:lineRule="auto"/>
        <w:jc w:val="both"/>
      </w:pPr>
    </w:p>
    <w:p w14:paraId="5F7A741A" w14:textId="663EFFEC" w:rsidR="005A5F61" w:rsidRDefault="003226BB" w:rsidP="003226BB">
      <w:pPr>
        <w:tabs>
          <w:tab w:val="left" w:pos="1245"/>
        </w:tabs>
        <w:spacing w:after="0" w:line="360" w:lineRule="auto"/>
        <w:ind w:firstLine="709"/>
        <w:jc w:val="both"/>
      </w:pPr>
      <w:r>
        <w:t xml:space="preserve">Em que B3m é o valor da taxa B3 no mês (R$); </w:t>
      </w:r>
      <w:proofErr w:type="gramStart"/>
      <w:r>
        <w:t>Ti</w:t>
      </w:r>
      <w:proofErr w:type="gramEnd"/>
      <w:r>
        <w:t xml:space="preserve"> o investimento total</w:t>
      </w:r>
      <w:r w:rsidR="00D1237B">
        <w:t xml:space="preserve"> (montante total)</w:t>
      </w:r>
      <w:r>
        <w:t xml:space="preserve"> naquele mês, considerando os juros do mês anterior (R$)</w:t>
      </w:r>
      <w:r w:rsidR="006B11FF">
        <w:t xml:space="preserve"> e Taxa, é a taxa B3, que atualmente é 0.25%.</w:t>
      </w:r>
    </w:p>
    <w:p w14:paraId="0918785D" w14:textId="096809D6" w:rsidR="003226BB" w:rsidRDefault="003226BB" w:rsidP="003226BB">
      <w:pPr>
        <w:tabs>
          <w:tab w:val="left" w:pos="1245"/>
        </w:tabs>
        <w:spacing w:after="0" w:line="360" w:lineRule="auto"/>
        <w:ind w:firstLine="709"/>
        <w:jc w:val="both"/>
      </w:pPr>
      <w:r>
        <w:t>Com isso é possível fazer a somatória do valor a ser arrecado pela B3, sendo esse valor próximo de R$ 25.11.</w:t>
      </w:r>
    </w:p>
    <w:p w14:paraId="1577CAFD" w14:textId="77777777" w:rsidR="007C1D3F" w:rsidRPr="000271A2" w:rsidRDefault="007C1D3F" w:rsidP="000271A2">
      <w:pPr>
        <w:tabs>
          <w:tab w:val="left" w:pos="1245"/>
        </w:tabs>
        <w:spacing w:after="0" w:line="360" w:lineRule="auto"/>
        <w:jc w:val="both"/>
        <w:rPr>
          <w:b/>
          <w:bCs/>
        </w:rPr>
      </w:pPr>
    </w:p>
    <w:p w14:paraId="36B4C03C" w14:textId="725FBD01" w:rsidR="00772EF7" w:rsidRDefault="007C1D3F" w:rsidP="00772EF7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  <w:rPr>
          <w:rFonts w:ascii="Arial" w:hAnsi="Arial" w:cs="Arial"/>
          <w:color w:val="000000" w:themeColor="text1"/>
        </w:rPr>
      </w:pPr>
      <w:r w:rsidRPr="001E6742">
        <w:rPr>
          <w:rFonts w:ascii="Arial" w:hAnsi="Arial" w:cs="Arial"/>
          <w:b/>
          <w:bCs/>
        </w:rPr>
        <w:t>CDB</w:t>
      </w:r>
      <w:r w:rsidRPr="001E6742">
        <w:rPr>
          <w:rFonts w:ascii="Arial" w:hAnsi="Arial" w:cs="Arial"/>
        </w:rPr>
        <w:t>:</w:t>
      </w:r>
      <w:r>
        <w:t xml:space="preserve"> </w:t>
      </w:r>
      <w:r w:rsidR="00772EF7" w:rsidRPr="00772EF7">
        <w:rPr>
          <w:rFonts w:ascii="Arial" w:hAnsi="Arial" w:cs="Arial"/>
          <w:color w:val="000000" w:themeColor="text1"/>
        </w:rPr>
        <w:t>Os CDBs são emitidos pelos bancos como uma forma de arrecadar fundos, em troca de uma remuneração ao investidor.</w:t>
      </w:r>
      <w:r w:rsidR="00772EF7">
        <w:rPr>
          <w:rFonts w:ascii="Arial" w:hAnsi="Arial" w:cs="Arial"/>
          <w:color w:val="000000" w:themeColor="text1"/>
        </w:rPr>
        <w:t xml:space="preserve"> </w:t>
      </w:r>
      <w:r w:rsidR="00772EF7" w:rsidRPr="00772EF7">
        <w:rPr>
          <w:rFonts w:ascii="Arial" w:hAnsi="Arial" w:cs="Arial"/>
          <w:color w:val="000000" w:themeColor="text1"/>
        </w:rPr>
        <w:t>O investimento é feito sob consulta em agências bancárias, sendo notável que instituições menores, oferecem taxas de juros maiores, o que oferece maior rendimento a quem aplica.</w:t>
      </w:r>
    </w:p>
    <w:p w14:paraId="58C2DC3F" w14:textId="77777777" w:rsidR="001E6742" w:rsidRPr="001E6742" w:rsidRDefault="001E6742" w:rsidP="001E6742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 w:themeColor="text1"/>
          <w:lang w:eastAsia="pt-BR"/>
        </w:rPr>
      </w:pPr>
      <w:r w:rsidRPr="001E6742">
        <w:rPr>
          <w:rFonts w:eastAsia="Times New Roman"/>
          <w:color w:val="000000" w:themeColor="text1"/>
          <w:lang w:eastAsia="pt-BR"/>
        </w:rPr>
        <w:t>Esse investimento pode oferecer </w:t>
      </w:r>
      <w:r w:rsidRPr="001E6742">
        <w:rPr>
          <w:rFonts w:eastAsia="Times New Roman"/>
          <w:color w:val="000000" w:themeColor="text1"/>
          <w:bdr w:val="none" w:sz="0" w:space="0" w:color="auto" w:frame="1"/>
          <w:lang w:eastAsia="pt-BR"/>
        </w:rPr>
        <w:t>três tipos diferentes de rendimento</w:t>
      </w:r>
      <w:r w:rsidRPr="001E6742">
        <w:rPr>
          <w:rFonts w:eastAsia="Times New Roman"/>
          <w:color w:val="000000" w:themeColor="text1"/>
          <w:lang w:eastAsia="pt-BR"/>
        </w:rPr>
        <w:t>: o prefixado, com um juro anual definido antes da compra, e o pós-fixado, atrelado à variação de um índice. Geralmente, o </w:t>
      </w:r>
      <w:hyperlink r:id="rId11" w:history="1">
        <w:r w:rsidRPr="001E6742">
          <w:rPr>
            <w:rFonts w:eastAsia="Times New Roman"/>
            <w:color w:val="000000" w:themeColor="text1"/>
            <w:bdr w:val="none" w:sz="0" w:space="0" w:color="auto" w:frame="1"/>
            <w:lang w:eastAsia="pt-BR"/>
          </w:rPr>
          <w:t>CDI</w:t>
        </w:r>
      </w:hyperlink>
      <w:r w:rsidRPr="001E6742">
        <w:rPr>
          <w:rFonts w:eastAsia="Times New Roman"/>
          <w:color w:val="000000" w:themeColor="text1"/>
          <w:lang w:eastAsia="pt-BR"/>
        </w:rPr>
        <w:t> (Certificado de Depósito Interbancário). Há, ainda, o híbrido, que mescla as duas formas.</w:t>
      </w:r>
    </w:p>
    <w:p w14:paraId="468840C4" w14:textId="6D993414" w:rsidR="001E6742" w:rsidRPr="001E6742" w:rsidRDefault="001E6742" w:rsidP="001E6742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 w:themeColor="text1"/>
          <w:lang w:eastAsia="pt-BR"/>
        </w:rPr>
      </w:pPr>
      <w:r w:rsidRPr="001E6742">
        <w:rPr>
          <w:rFonts w:eastAsia="Times New Roman"/>
          <w:color w:val="000000" w:themeColor="text1"/>
          <w:lang w:eastAsia="pt-BR"/>
        </w:rPr>
        <w:t xml:space="preserve">Ao falar sobre isso, é importante saber que são dois termos diferentes: CDB é o investimento </w:t>
      </w:r>
      <w:r>
        <w:rPr>
          <w:rFonts w:eastAsia="Times New Roman"/>
          <w:color w:val="000000" w:themeColor="text1"/>
          <w:lang w:eastAsia="pt-BR"/>
        </w:rPr>
        <w:t>de renda fixa</w:t>
      </w:r>
      <w:r w:rsidRPr="001E6742">
        <w:rPr>
          <w:rFonts w:eastAsia="Times New Roman"/>
          <w:color w:val="000000" w:themeColor="text1"/>
          <w:lang w:eastAsia="pt-BR"/>
        </w:rPr>
        <w:t>. Já o CDI é o índice usado para remunerá-lo. Ele é, na verdade, o título de empréstimo entre os bancos e instituições financeiras.</w:t>
      </w:r>
    </w:p>
    <w:p w14:paraId="74297DE9" w14:textId="5140B4D0" w:rsidR="001E6742" w:rsidRDefault="001E6742" w:rsidP="001E6742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 w:themeColor="text1"/>
          <w:lang w:eastAsia="pt-BR"/>
        </w:rPr>
      </w:pPr>
      <w:r w:rsidRPr="001E6742">
        <w:rPr>
          <w:rFonts w:eastAsia="Times New Roman"/>
          <w:color w:val="000000" w:themeColor="text1"/>
          <w:lang w:eastAsia="pt-BR"/>
        </w:rPr>
        <w:t>De modo geral, o valor do CDI segue de perto da </w:t>
      </w:r>
      <w:hyperlink r:id="rId12" w:history="1">
        <w:r w:rsidRPr="001E6742">
          <w:rPr>
            <w:rFonts w:eastAsia="Times New Roman"/>
            <w:color w:val="000000" w:themeColor="text1"/>
            <w:bdr w:val="none" w:sz="0" w:space="0" w:color="auto" w:frame="1"/>
            <w:lang w:eastAsia="pt-BR"/>
          </w:rPr>
          <w:t>Taxa Selic</w:t>
        </w:r>
      </w:hyperlink>
      <w:r w:rsidRPr="001E6742">
        <w:rPr>
          <w:rFonts w:eastAsia="Times New Roman"/>
          <w:color w:val="000000" w:themeColor="text1"/>
          <w:lang w:eastAsia="pt-BR"/>
        </w:rPr>
        <w:t>, que é a taxa básica de juros da economia. Então, se um título de CDB promete retorno de 100% do CDI, ele paga praticamente a variação da Selic.</w:t>
      </w:r>
      <w:r>
        <w:rPr>
          <w:rFonts w:eastAsia="Times New Roman"/>
          <w:color w:val="000000" w:themeColor="text1"/>
          <w:lang w:eastAsia="pt-BR"/>
        </w:rPr>
        <w:t xml:space="preserve"> Atualmente o CDI gira em torno de 1.9%.</w:t>
      </w:r>
    </w:p>
    <w:p w14:paraId="43DD4747" w14:textId="77777777" w:rsidR="00F93592" w:rsidRDefault="00F93592" w:rsidP="001E6742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 w:themeColor="text1"/>
          <w:lang w:eastAsia="pt-BR"/>
        </w:rPr>
      </w:pPr>
    </w:p>
    <w:p w14:paraId="3A655EEA" w14:textId="287A4755" w:rsidR="001E6742" w:rsidRPr="00F93592" w:rsidRDefault="00F93592" w:rsidP="001E6742">
      <w:pPr>
        <w:shd w:val="clear" w:color="auto" w:fill="FFFFFF"/>
        <w:spacing w:after="0" w:line="360" w:lineRule="auto"/>
        <w:ind w:firstLine="709"/>
        <w:jc w:val="both"/>
        <w:rPr>
          <w:rStyle w:val="Hiperlink"/>
          <w:rFonts w:eastAsia="Times New Roman"/>
          <w:lang w:eastAsia="pt-BR"/>
        </w:rPr>
      </w:pPr>
      <w:r>
        <w:rPr>
          <w:rFonts w:eastAsia="Times New Roman"/>
          <w:color w:val="000000" w:themeColor="text1"/>
          <w:lang w:eastAsia="pt-BR"/>
        </w:rPr>
        <w:fldChar w:fldCharType="begin"/>
      </w:r>
      <w:r>
        <w:rPr>
          <w:rFonts w:eastAsia="Times New Roman"/>
          <w:color w:val="000000" w:themeColor="text1"/>
          <w:lang w:eastAsia="pt-BR"/>
        </w:rPr>
        <w:instrText xml:space="preserve"> HYPERLINK "https://www.btgpactualdigital.com/blog/investimentos/o-que-e-cdb?cmpid=c04:m05:google:11177116067:b:110394111315&amp;utm_medium=spl&amp;utm_source=google&amp;utm_campaign=11177116067&amp;utm_content=110394111315&amp;creative=466932534632&amp;adposition=&amp;keyword=&amp;matchtyp" </w:instrText>
      </w:r>
      <w:r>
        <w:rPr>
          <w:rFonts w:eastAsia="Times New Roman"/>
          <w:color w:val="000000" w:themeColor="text1"/>
          <w:lang w:eastAsia="pt-BR"/>
        </w:rPr>
      </w:r>
      <w:r>
        <w:rPr>
          <w:rFonts w:eastAsia="Times New Roman"/>
          <w:color w:val="000000" w:themeColor="text1"/>
          <w:lang w:eastAsia="pt-BR"/>
        </w:rPr>
        <w:fldChar w:fldCharType="separate"/>
      </w:r>
      <w:r w:rsidRPr="00F93592">
        <w:rPr>
          <w:rStyle w:val="Hiperlink"/>
          <w:rFonts w:eastAsia="Times New Roman"/>
          <w:lang w:eastAsia="pt-BR"/>
        </w:rPr>
        <w:t>Fonte</w:t>
      </w:r>
      <w:r w:rsidR="001E6742" w:rsidRPr="00F93592">
        <w:rPr>
          <w:rStyle w:val="Hiperlink"/>
          <w:rFonts w:eastAsia="Times New Roman"/>
          <w:lang w:eastAsia="pt-BR"/>
        </w:rPr>
        <w:t xml:space="preserve"> </w:t>
      </w:r>
    </w:p>
    <w:p w14:paraId="6675C760" w14:textId="451FA78A" w:rsidR="001E6742" w:rsidRDefault="00F93592" w:rsidP="001E6742">
      <w:pPr>
        <w:shd w:val="clear" w:color="auto" w:fill="FFFFFF"/>
        <w:spacing w:after="0" w:line="360" w:lineRule="auto"/>
        <w:jc w:val="both"/>
        <w:rPr>
          <w:rFonts w:eastAsia="Times New Roman"/>
          <w:color w:val="000000" w:themeColor="text1"/>
          <w:lang w:eastAsia="pt-BR"/>
        </w:rPr>
      </w:pPr>
      <w:r>
        <w:rPr>
          <w:rFonts w:eastAsia="Times New Roman"/>
          <w:color w:val="000000" w:themeColor="text1"/>
          <w:lang w:eastAsia="pt-BR"/>
        </w:rPr>
        <w:fldChar w:fldCharType="end"/>
      </w:r>
    </w:p>
    <w:p w14:paraId="1B04566C" w14:textId="77777777" w:rsidR="00F93592" w:rsidRDefault="00F93592" w:rsidP="001E6742">
      <w:pPr>
        <w:shd w:val="clear" w:color="auto" w:fill="FFFFFF"/>
        <w:spacing w:after="0" w:line="360" w:lineRule="auto"/>
        <w:jc w:val="both"/>
        <w:rPr>
          <w:rFonts w:eastAsia="Times New Roman"/>
          <w:color w:val="000000" w:themeColor="text1"/>
          <w:lang w:eastAsia="pt-BR"/>
        </w:rPr>
      </w:pPr>
    </w:p>
    <w:p w14:paraId="107428BB" w14:textId="77777777" w:rsidR="00F93592" w:rsidRDefault="00F93592" w:rsidP="001E6742">
      <w:pPr>
        <w:shd w:val="clear" w:color="auto" w:fill="FFFFFF"/>
        <w:spacing w:after="0" w:line="360" w:lineRule="auto"/>
        <w:jc w:val="both"/>
        <w:rPr>
          <w:rFonts w:eastAsia="Times New Roman"/>
          <w:color w:val="000000" w:themeColor="text1"/>
          <w:lang w:eastAsia="pt-BR"/>
        </w:rPr>
      </w:pPr>
    </w:p>
    <w:p w14:paraId="4ED69746" w14:textId="7FD1A0EC" w:rsidR="001E6742" w:rsidRDefault="001E6742" w:rsidP="001E6742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 w:themeColor="text1"/>
          <w:lang w:eastAsia="pt-BR"/>
        </w:rPr>
      </w:pPr>
      <w:r>
        <w:rPr>
          <w:rFonts w:eastAsia="Times New Roman"/>
          <w:color w:val="000000" w:themeColor="text1"/>
          <w:lang w:eastAsia="pt-BR"/>
        </w:rPr>
        <w:lastRenderedPageBreak/>
        <w:t>Para efeito de cálculo, a rentabilidade pode ser calculada a seguir:</w:t>
      </w:r>
    </w:p>
    <w:p w14:paraId="28176DE8" w14:textId="334281C8" w:rsidR="001E6742" w:rsidRDefault="001E6742" w:rsidP="001E6742">
      <w:pPr>
        <w:shd w:val="clear" w:color="auto" w:fill="FFFFFF"/>
        <w:spacing w:after="0" w:line="360" w:lineRule="auto"/>
        <w:jc w:val="both"/>
        <w:rPr>
          <w:rFonts w:eastAsia="Times New Roman"/>
          <w:color w:val="000000" w:themeColor="text1"/>
          <w:lang w:eastAsia="pt-BR"/>
        </w:rPr>
      </w:pPr>
    </w:p>
    <w:p w14:paraId="1979A947" w14:textId="63646043" w:rsidR="00234D67" w:rsidRDefault="00234D67" w:rsidP="001E6742">
      <w:pPr>
        <w:shd w:val="clear" w:color="auto" w:fill="FFFFFF"/>
        <w:spacing w:after="0" w:line="360" w:lineRule="auto"/>
        <w:jc w:val="both"/>
        <w:rPr>
          <w:rFonts w:eastAsia="Times New Roman"/>
          <w:color w:val="000000" w:themeColor="text1"/>
          <w:lang w:eastAsia="pt-BR"/>
        </w:rPr>
      </w:pPr>
      <m:oMathPara>
        <m:oMath>
          <m:r>
            <w:rPr>
              <w:rFonts w:ascii="Cambria Math" w:eastAsia="Times New Roman" w:hAnsi="Cambria Math"/>
              <w:color w:val="000000" w:themeColor="text1"/>
              <w:lang w:eastAsia="pt-BR"/>
            </w:rPr>
            <m:t xml:space="preserve">R =CDI x 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 w:themeColor="text1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 w:themeColor="text1"/>
                  <w:lang w:eastAsia="pt-BR"/>
                </w:rPr>
                <m:t>CDB</m:t>
              </m:r>
            </m:num>
            <m:den>
              <m:r>
                <w:rPr>
                  <w:rFonts w:ascii="Cambria Math" w:eastAsia="Times New Roman" w:hAnsi="Cambria Math"/>
                  <w:color w:val="000000" w:themeColor="text1"/>
                  <w:lang w:eastAsia="pt-BR"/>
                </w:rPr>
                <m:t>100</m:t>
              </m:r>
            </m:den>
          </m:f>
        </m:oMath>
      </m:oMathPara>
    </w:p>
    <w:p w14:paraId="219EE0C0" w14:textId="77777777" w:rsidR="001E6742" w:rsidRPr="001E6742" w:rsidRDefault="001E6742" w:rsidP="001E6742">
      <w:pPr>
        <w:shd w:val="clear" w:color="auto" w:fill="FFFFFF"/>
        <w:spacing w:after="0" w:line="360" w:lineRule="auto"/>
        <w:jc w:val="both"/>
        <w:rPr>
          <w:rFonts w:eastAsia="Times New Roman"/>
          <w:color w:val="000000" w:themeColor="text1"/>
          <w:lang w:eastAsia="pt-BR"/>
        </w:rPr>
      </w:pPr>
    </w:p>
    <w:p w14:paraId="5DE2C4ED" w14:textId="7B5D79A4" w:rsidR="001E6742" w:rsidRDefault="00234D67" w:rsidP="00772EF7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Nesse caso, R é a Rentabilidade </w:t>
      </w:r>
      <w:r w:rsidR="00B13555">
        <w:rPr>
          <w:rFonts w:ascii="Arial" w:hAnsi="Arial" w:cs="Arial"/>
          <w:color w:val="000000" w:themeColor="text1"/>
        </w:rPr>
        <w:t xml:space="preserve">anual </w:t>
      </w:r>
      <w:r>
        <w:rPr>
          <w:rFonts w:ascii="Arial" w:hAnsi="Arial" w:cs="Arial"/>
          <w:color w:val="000000" w:themeColor="text1"/>
        </w:rPr>
        <w:t xml:space="preserve">do CDB (%); CDB é </w:t>
      </w:r>
      <w:r w:rsidR="00B13555">
        <w:rPr>
          <w:rFonts w:ascii="Arial" w:hAnsi="Arial" w:cs="Arial"/>
          <w:color w:val="000000" w:themeColor="text1"/>
        </w:rPr>
        <w:t>o valor do título comprado, geralmente um valor do CDI (%) e CDI corresponde ao próprio índice CDI (%).</w:t>
      </w:r>
    </w:p>
    <w:p w14:paraId="125EF4A4" w14:textId="6F497627" w:rsidR="00B13555" w:rsidRDefault="00B13555" w:rsidP="00772EF7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esse trabalho, foi considerado um CDB de 120% do CDI, aplicando a equação acima, chegou-se a um valor de Rentabilidade de 2.28% ao ano.</w:t>
      </w:r>
    </w:p>
    <w:p w14:paraId="4E8EE10A" w14:textId="597CC22C" w:rsidR="00175220" w:rsidRDefault="00814F04" w:rsidP="00175220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calcular o lucro do investimento, foi considerada a equação abaixo, considerando um aporte inicial de R$ 1000,00</w:t>
      </w:r>
      <w:r w:rsidR="00175220">
        <w:rPr>
          <w:rFonts w:ascii="Arial" w:hAnsi="Arial" w:cs="Arial"/>
          <w:color w:val="000000" w:themeColor="text1"/>
        </w:rPr>
        <w:t xml:space="preserve"> por 3 anos.</w:t>
      </w:r>
    </w:p>
    <w:p w14:paraId="2231E96E" w14:textId="77777777" w:rsidR="00686BA8" w:rsidRDefault="00686BA8" w:rsidP="00175220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  <w:rPr>
          <w:rFonts w:ascii="Arial" w:hAnsi="Arial" w:cs="Arial"/>
          <w:color w:val="000000" w:themeColor="text1"/>
        </w:rPr>
      </w:pPr>
    </w:p>
    <w:p w14:paraId="47FFBD92" w14:textId="0FE4DF12" w:rsidR="004E0CCA" w:rsidRDefault="004E0CCA" w:rsidP="004E0CCA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  <w:rPr>
          <w:rFonts w:ascii="Arial" w:hAnsi="Arial" w:cs="Arial"/>
          <w:color w:val="000000" w:themeColor="text1"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m:t xml:space="preserve">Lm=(Ti+Lm-1) x 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</w:rPr>
                <m:t>R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</w:rPr>
                <m:t>100</m:t>
              </m:r>
            </m:den>
          </m:f>
        </m:oMath>
      </m:oMathPara>
    </w:p>
    <w:p w14:paraId="084E8BAD" w14:textId="77777777" w:rsidR="00814F04" w:rsidRPr="00772EF7" w:rsidRDefault="00814F04" w:rsidP="004E0CC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top"/>
        <w:rPr>
          <w:rFonts w:ascii="Arial" w:hAnsi="Arial" w:cs="Arial"/>
          <w:color w:val="000000" w:themeColor="text1"/>
        </w:rPr>
      </w:pPr>
    </w:p>
    <w:p w14:paraId="08C41C2F" w14:textId="6FD4D376" w:rsidR="00B0267C" w:rsidRDefault="004E0CCA" w:rsidP="006F4C70">
      <w:pPr>
        <w:pStyle w:val="PargrafodaLista"/>
        <w:tabs>
          <w:tab w:val="left" w:pos="1245"/>
        </w:tabs>
        <w:spacing w:after="0" w:line="360" w:lineRule="auto"/>
        <w:ind w:left="0" w:firstLine="709"/>
        <w:jc w:val="both"/>
      </w:pPr>
      <w:r>
        <w:t xml:space="preserve">Onde </w:t>
      </w:r>
      <w:proofErr w:type="spellStart"/>
      <w:r>
        <w:t>Lm</w:t>
      </w:r>
      <w:proofErr w:type="spellEnd"/>
      <w:r>
        <w:t xml:space="preserve"> é o lucro mensal (R$); </w:t>
      </w:r>
      <w:proofErr w:type="gramStart"/>
      <w:r>
        <w:t>Ti</w:t>
      </w:r>
      <w:proofErr w:type="gramEnd"/>
      <w:r>
        <w:t xml:space="preserve"> o total investido (R$); Lm-1 é o lucro do mês anterior (R$) e R a rentabilidade (%).</w:t>
      </w:r>
    </w:p>
    <w:p w14:paraId="52C1400A" w14:textId="653AE862" w:rsidR="00686BA8" w:rsidRDefault="00686BA8" w:rsidP="006F4C70">
      <w:pPr>
        <w:pStyle w:val="PargrafodaLista"/>
        <w:tabs>
          <w:tab w:val="left" w:pos="1245"/>
        </w:tabs>
        <w:spacing w:after="0" w:line="360" w:lineRule="auto"/>
        <w:ind w:left="0" w:firstLine="709"/>
        <w:jc w:val="both"/>
      </w:pPr>
      <w:r>
        <w:t>Aplicando essa fórmula, é possível calcular o Lucro mensal e fazer a somatória para os meses de aplicação.</w:t>
      </w:r>
    </w:p>
    <w:p w14:paraId="1FF1DABC" w14:textId="170D626E" w:rsidR="00C077CE" w:rsidRDefault="00C077CE" w:rsidP="006F4C70">
      <w:pPr>
        <w:pStyle w:val="PargrafodaLista"/>
        <w:tabs>
          <w:tab w:val="left" w:pos="1245"/>
        </w:tabs>
        <w:spacing w:after="0" w:line="360" w:lineRule="auto"/>
        <w:ind w:left="0" w:firstLine="709"/>
        <w:jc w:val="both"/>
      </w:pPr>
      <w:r>
        <w:t>Para pagamentos de taxas, é cobrado o IR, que segue mesma lógica da tabela citada acima para o mesmo.</w:t>
      </w:r>
    </w:p>
    <w:p w14:paraId="7785CED4" w14:textId="635C960C" w:rsidR="00532CE9" w:rsidRDefault="00532CE9" w:rsidP="006F4C70">
      <w:pPr>
        <w:pStyle w:val="PargrafodaLista"/>
        <w:tabs>
          <w:tab w:val="left" w:pos="1245"/>
        </w:tabs>
        <w:spacing w:after="0" w:line="360" w:lineRule="auto"/>
        <w:ind w:left="0" w:firstLine="709"/>
        <w:jc w:val="both"/>
      </w:pPr>
    </w:p>
    <w:p w14:paraId="748C6DC5" w14:textId="6EF00B4F" w:rsidR="001754A6" w:rsidRPr="001754A6" w:rsidRDefault="001754A6" w:rsidP="001754A6">
      <w:pPr>
        <w:tabs>
          <w:tab w:val="left" w:pos="1245"/>
        </w:tabs>
      </w:pPr>
    </w:p>
    <w:sectPr w:rsidR="001754A6" w:rsidRPr="001754A6" w:rsidSect="003B544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4038B"/>
    <w:multiLevelType w:val="multilevel"/>
    <w:tmpl w:val="37C8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AF1726"/>
    <w:multiLevelType w:val="hybridMultilevel"/>
    <w:tmpl w:val="A1B88E2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700AB9"/>
    <w:multiLevelType w:val="hybridMultilevel"/>
    <w:tmpl w:val="05F4E4C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D4C709D"/>
    <w:multiLevelType w:val="multilevel"/>
    <w:tmpl w:val="28AE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6C2CA8"/>
    <w:multiLevelType w:val="hybridMultilevel"/>
    <w:tmpl w:val="57D04A5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AD540F9"/>
    <w:multiLevelType w:val="hybridMultilevel"/>
    <w:tmpl w:val="A7EA3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E4292"/>
    <w:multiLevelType w:val="multilevel"/>
    <w:tmpl w:val="3DA8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077885"/>
    <w:multiLevelType w:val="multilevel"/>
    <w:tmpl w:val="D294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AA733D"/>
    <w:multiLevelType w:val="hybridMultilevel"/>
    <w:tmpl w:val="8C5E9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99"/>
    <w:rsid w:val="000271A2"/>
    <w:rsid w:val="00175220"/>
    <w:rsid w:val="001754A6"/>
    <w:rsid w:val="001B0F83"/>
    <w:rsid w:val="001C425A"/>
    <w:rsid w:val="001E6742"/>
    <w:rsid w:val="00234D67"/>
    <w:rsid w:val="002B75FA"/>
    <w:rsid w:val="003226BB"/>
    <w:rsid w:val="003B5444"/>
    <w:rsid w:val="003C0D4A"/>
    <w:rsid w:val="004A064E"/>
    <w:rsid w:val="004E0CCA"/>
    <w:rsid w:val="00532CE9"/>
    <w:rsid w:val="005432B6"/>
    <w:rsid w:val="005A5F61"/>
    <w:rsid w:val="005F78E3"/>
    <w:rsid w:val="00626D12"/>
    <w:rsid w:val="00686BA8"/>
    <w:rsid w:val="006B11FF"/>
    <w:rsid w:val="006F4C70"/>
    <w:rsid w:val="00772EF7"/>
    <w:rsid w:val="007855A2"/>
    <w:rsid w:val="007B1B69"/>
    <w:rsid w:val="007C1D3F"/>
    <w:rsid w:val="00814F04"/>
    <w:rsid w:val="0086452D"/>
    <w:rsid w:val="008B3EFB"/>
    <w:rsid w:val="008E6D20"/>
    <w:rsid w:val="008F2AAA"/>
    <w:rsid w:val="00A23992"/>
    <w:rsid w:val="00B0267C"/>
    <w:rsid w:val="00B06AA3"/>
    <w:rsid w:val="00B13555"/>
    <w:rsid w:val="00BA136C"/>
    <w:rsid w:val="00C077CE"/>
    <w:rsid w:val="00D1237B"/>
    <w:rsid w:val="00DA4699"/>
    <w:rsid w:val="00E14F58"/>
    <w:rsid w:val="00E27AC3"/>
    <w:rsid w:val="00EC67AC"/>
    <w:rsid w:val="00ED595A"/>
    <w:rsid w:val="00F11F35"/>
    <w:rsid w:val="00F9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E6434"/>
  <w15:chartTrackingRefBased/>
  <w15:docId w15:val="{42635D46-1235-42B4-9777-BB6283EA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5F78E3"/>
    <w:rPr>
      <w:b/>
      <w:bCs/>
    </w:rPr>
  </w:style>
  <w:style w:type="paragraph" w:styleId="PargrafodaLista">
    <w:name w:val="List Paragraph"/>
    <w:basedOn w:val="Normal"/>
    <w:uiPriority w:val="34"/>
    <w:qFormat/>
    <w:rsid w:val="005F78E3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5F78E3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D595A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1B0F83"/>
    <w:rPr>
      <w:color w:val="808080"/>
    </w:rPr>
  </w:style>
  <w:style w:type="table" w:styleId="Tabelacomgrade">
    <w:name w:val="Table Grid"/>
    <w:basedOn w:val="Tabelanormal"/>
    <w:uiPriority w:val="39"/>
    <w:rsid w:val="007C1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8645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btgpactualdigital.com/blog/financas/tudo-sobre-cdi" TargetMode="External"/><Relationship Id="rId12" Type="http://schemas.openxmlformats.org/officeDocument/2006/relationships/hyperlink" Target="https://www.btgpactualdigital.com/blog/financas/tudo-sobre-taxa-selic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log.rico.com.vc/o-que-e-ipca" TargetMode="External"/><Relationship Id="rId6" Type="http://schemas.openxmlformats.org/officeDocument/2006/relationships/hyperlink" Target="https://blog.rico.com.vc/fundo-multimercado-como-investir" TargetMode="External"/><Relationship Id="rId7" Type="http://schemas.openxmlformats.org/officeDocument/2006/relationships/hyperlink" Target="https://blog.rico.com.vc/fundos-imobiliarios" TargetMode="External"/><Relationship Id="rId8" Type="http://schemas.openxmlformats.org/officeDocument/2006/relationships/hyperlink" Target="https://blog.rico.com.vc/coe-certificado-de-operacoes-estruturadas" TargetMode="External"/><Relationship Id="rId9" Type="http://schemas.openxmlformats.org/officeDocument/2006/relationships/hyperlink" Target="https://www.tesourodireto.com.br/conheca/conheca-o-tesouro-direto.htm" TargetMode="External"/><Relationship Id="rId10" Type="http://schemas.openxmlformats.org/officeDocument/2006/relationships/hyperlink" Target="https://www.clear.com.br/site/tesouro-direto?gclid=CjwKCAiAm-2BBhANEiwAe7eyFPNvQbgEz6Tu06yfQQxXDWziEuuaF3qJXYVVWkCVGZKqEWZSY7uJARoC1C0QAvD_Bw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1360</Words>
  <Characters>7347</Characters>
  <Application>Microsoft Macintosh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Christiano</dc:creator>
  <cp:keywords/>
  <dc:description/>
  <cp:lastModifiedBy>Usuário do Microsoft Office</cp:lastModifiedBy>
  <cp:revision>36</cp:revision>
  <dcterms:created xsi:type="dcterms:W3CDTF">2021-02-28T19:28:00Z</dcterms:created>
  <dcterms:modified xsi:type="dcterms:W3CDTF">2021-03-03T00:19:00Z</dcterms:modified>
</cp:coreProperties>
</file>