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pStyle w:val="Title"/>
        <w:jc w:val="left"/>
        <w:pBdr>
          <w:bottom w:val="nil"/>
        </w:pBdr>
      </w:pPr>
      <w:r>
        <w:t>Explicación del proyecto Customer Churn</w:t>
      </w:r>
    </w:p>
    <w:p>
      <w:pPr>
        <w:spacing w:before="160" w:after="560"/>
      </w:pPr>
      <w:r>
        <w:rPr>
          <w:color w:val="464646"/>
          <w:sz w:val="30"/>
        </w:rPr>
        <w:t>Primer parcial de Laboratorio de Minería de Datos</w:t>
      </w:r>
    </w:p>
    <w:p>
      <w:pPr>
        <w:spacing w:after="440"/>
      </w:pPr>
      <w:r>
        <w:rPr>
          <w:sz w:val="24"/>
        </w:rPr>
        <w:t>Este documento reúne la explicación completa del proyecto: objetivo, datos, análisis exploratorio, entrenamiento, resultados, reproducibilidad y evidencias de entrega. Complementa al README técnico y concentra la información que antes estaba distribuida en varios archivos de texto.</w:t>
      </w:r>
    </w:p>
    <w:p>
      <w:pPr>
        <w:spacing w:after="100"/>
      </w:pPr>
      <w:r>
        <w:rPr>
          <w:b/>
          <w:sz w:val="24"/>
        </w:rPr>
        <w:t>Idea central</w:t>
      </w:r>
    </w:p>
    <w:p>
      <w:r>
        <w:t>El proyecto predice qué clientes de una empresa de telecomunicaciones tienen riesgo de abandonar el servicio. Además del modelo, se construyó un proceso que permite rastrear la relación entre los datos, el código, los experimentos y el resultado final.</w:t>
      </w:r>
    </w:p>
    <w:p>
      <w:r>
        <w:br w:type="page"/>
      </w:r>
    </w:p>
    <w:p>
      <w:pPr>
        <w:pStyle w:val="Heading1"/>
      </w:pPr>
      <w:r>
        <w:t>Objetivo y datos</w:t>
      </w:r>
    </w:p>
    <w:p>
      <w:pPr>
        <w:keepNext/>
      </w:pPr>
      <w:r>
        <w:t>El problema se conoce como customer churn. La meta es identificar clientes con riesgo de abandonar el servicio para que la empresa pueda dirigir acciones de retención hacia ellos. La variable que se predice es Churn, cuyos valores originales son Yes para abandono y No para permanencia.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3402"/>
            <w:vAlign w:val="center"/>
            <w:shd w:fill="274C77"/>
            <w:tcMar>
              <w:top w:w="100" w:type="dxa"/>
              <w:start w:w="120" w:type="dxa"/>
              <w:bottom w:w="100" w:type="dxa"/>
              <w:end w:w="120" w:type="dxa"/>
            </w:tcMar>
          </w:tcPr>
          <w:p>
            <w:pPr>
              <w:keepNext/>
              <w:spacing w:after="0"/>
              <w:jc w:val="center"/>
            </w:pPr>
            <w:r>
              <w:rPr>
                <w:b/>
                <w:color w:val="FFFFFF"/>
                <w:sz w:val="19"/>
              </w:rPr>
              <w:t>Elemento</w:t>
            </w:r>
          </w:p>
        </w:tc>
        <w:tc>
          <w:tcPr>
            <w:tcW w:type="dxa" w:w="5386"/>
            <w:vAlign w:val="center"/>
            <w:shd w:fill="274C77"/>
            <w:tcMar>
              <w:top w:w="100" w:type="dxa"/>
              <w:start w:w="120" w:type="dxa"/>
              <w:bottom w:w="100" w:type="dxa"/>
              <w:end w:w="120" w:type="dxa"/>
            </w:tcMar>
          </w:tcPr>
          <w:p>
            <w:pPr>
              <w:keepNext/>
              <w:spacing w:after="0"/>
              <w:jc w:val="center"/>
            </w:pPr>
            <w:r>
              <w:rPr>
                <w:b/>
                <w:color w:val="FFFFFF"/>
                <w:sz w:val="19"/>
              </w:rPr>
              <w:t>Valor</w:t>
            </w:r>
          </w:p>
        </w:tc>
      </w:tr>
      <w:tr>
        <w:tc>
          <w:tcPr>
            <w:tcW w:type="dxa" w:w="3402"/>
            <w:vAlign w:val="center"/>
            <w:tcMar>
              <w:top w:w="100" w:type="dxa"/>
              <w:start w:w="120" w:type="dxa"/>
              <w:bottom w:w="100" w:type="dxa"/>
              <w:end w:w="120" w:type="dxa"/>
            </w:tcMar>
          </w:tcPr>
          <w:p>
            <w:pPr>
              <w:spacing w:after="0"/>
              <w:jc w:val="left"/>
            </w:pPr>
            <w:r>
              <w:rPr>
                <w:sz w:val="18"/>
              </w:rPr>
              <w:t>Registros</w:t>
            </w:r>
          </w:p>
        </w:tc>
        <w:tc>
          <w:tcPr>
            <w:tcW w:type="dxa" w:w="5386"/>
            <w:vAlign w:val="center"/>
            <w:tcMar>
              <w:top w:w="100" w:type="dxa"/>
              <w:start w:w="120" w:type="dxa"/>
              <w:bottom w:w="100" w:type="dxa"/>
              <w:end w:w="120" w:type="dxa"/>
            </w:tcMar>
          </w:tcPr>
          <w:p>
            <w:pPr>
              <w:spacing w:after="0"/>
              <w:jc w:val="center"/>
            </w:pPr>
            <w:r>
              <w:rPr>
                <w:sz w:val="18"/>
              </w:rPr>
              <w:t>7.043 clientes</w:t>
            </w:r>
          </w:p>
        </w:tc>
      </w:tr>
      <w:tr>
        <w:tc>
          <w:tcPr>
            <w:tcW w:type="dxa" w:w="3402"/>
            <w:vAlign w:val="center"/>
            <w:tcMar>
              <w:top w:w="100" w:type="dxa"/>
              <w:start w:w="120" w:type="dxa"/>
              <w:bottom w:w="100" w:type="dxa"/>
              <w:end w:w="120" w:type="dxa"/>
            </w:tcMar>
            <w:shd w:fill="EEF4F8"/>
          </w:tcPr>
          <w:p>
            <w:pPr>
              <w:spacing w:after="0"/>
              <w:jc w:val="left"/>
            </w:pPr>
            <w:r>
              <w:rPr>
                <w:sz w:val="18"/>
              </w:rPr>
              <w:t>Variables</w:t>
            </w:r>
          </w:p>
        </w:tc>
        <w:tc>
          <w:tcPr>
            <w:tcW w:type="dxa" w:w="5386"/>
            <w:vAlign w:val="center"/>
            <w:tcMar>
              <w:top w:w="100" w:type="dxa"/>
              <w:start w:w="120" w:type="dxa"/>
              <w:bottom w:w="100" w:type="dxa"/>
              <w:end w:w="120" w:type="dxa"/>
            </w:tcMar>
            <w:shd w:fill="EEF4F8"/>
          </w:tcPr>
          <w:p>
            <w:pPr>
              <w:spacing w:after="0"/>
              <w:jc w:val="center"/>
            </w:pPr>
            <w:r>
              <w:rPr>
                <w:sz w:val="18"/>
              </w:rPr>
              <w:t>21 columnas</w:t>
            </w:r>
          </w:p>
        </w:tc>
      </w:tr>
      <w:tr>
        <w:tc>
          <w:tcPr>
            <w:tcW w:type="dxa" w:w="3402"/>
            <w:vAlign w:val="center"/>
            <w:tcMar>
              <w:top w:w="100" w:type="dxa"/>
              <w:start w:w="120" w:type="dxa"/>
              <w:bottom w:w="100" w:type="dxa"/>
              <w:end w:w="120" w:type="dxa"/>
            </w:tcMar>
          </w:tcPr>
          <w:p>
            <w:pPr>
              <w:spacing w:after="0"/>
              <w:jc w:val="left"/>
            </w:pPr>
            <w:r>
              <w:rPr>
                <w:sz w:val="18"/>
              </w:rPr>
              <w:t>Tasa de churn</w:t>
            </w:r>
          </w:p>
        </w:tc>
        <w:tc>
          <w:tcPr>
            <w:tcW w:type="dxa" w:w="5386"/>
            <w:vAlign w:val="center"/>
            <w:tcMar>
              <w:top w:w="100" w:type="dxa"/>
              <w:start w:w="120" w:type="dxa"/>
              <w:bottom w:w="100" w:type="dxa"/>
              <w:end w:w="120" w:type="dxa"/>
            </w:tcMar>
          </w:tcPr>
          <w:p>
            <w:pPr>
              <w:spacing w:after="0"/>
              <w:jc w:val="center"/>
            </w:pPr>
            <w:r>
              <w:rPr>
                <w:sz w:val="18"/>
              </w:rPr>
              <w:t>26,37 %</w:t>
            </w:r>
          </w:p>
        </w:tc>
      </w:tr>
      <w:tr>
        <w:tc>
          <w:tcPr>
            <w:tcW w:type="dxa" w:w="3402"/>
            <w:vAlign w:val="center"/>
            <w:tcMar>
              <w:top w:w="100" w:type="dxa"/>
              <w:start w:w="120" w:type="dxa"/>
              <w:bottom w:w="100" w:type="dxa"/>
              <w:end w:w="120" w:type="dxa"/>
            </w:tcMar>
            <w:shd w:fill="EEF4F8"/>
          </w:tcPr>
          <w:p>
            <w:pPr>
              <w:spacing w:after="0"/>
              <w:jc w:val="left"/>
            </w:pPr>
            <w:r>
              <w:rPr>
                <w:sz w:val="18"/>
              </w:rPr>
              <w:t>Valores faltantes</w:t>
            </w:r>
          </w:p>
        </w:tc>
        <w:tc>
          <w:tcPr>
            <w:tcW w:type="dxa" w:w="5386"/>
            <w:vAlign w:val="center"/>
            <w:tcMar>
              <w:top w:w="100" w:type="dxa"/>
              <w:start w:w="120" w:type="dxa"/>
              <w:bottom w:w="100" w:type="dxa"/>
              <w:end w:w="120" w:type="dxa"/>
            </w:tcMar>
            <w:shd w:fill="EEF4F8"/>
          </w:tcPr>
          <w:p>
            <w:pPr>
              <w:spacing w:after="0"/>
              <w:jc w:val="center"/>
            </w:pPr>
            <w:r>
              <w:rPr>
                <w:sz w:val="18"/>
              </w:rPr>
              <w:t>26 en TotalCharges</w:t>
            </w:r>
          </w:p>
        </w:tc>
      </w:tr>
      <w:tr>
        <w:tc>
          <w:tcPr>
            <w:tcW w:type="dxa" w:w="3402"/>
            <w:vAlign w:val="center"/>
            <w:tcMar>
              <w:top w:w="100" w:type="dxa"/>
              <w:start w:w="120" w:type="dxa"/>
              <w:bottom w:w="100" w:type="dxa"/>
              <w:end w:w="120" w:type="dxa"/>
            </w:tcMar>
          </w:tcPr>
          <w:p>
            <w:pPr>
              <w:spacing w:after="0"/>
              <w:jc w:val="left"/>
            </w:pPr>
            <w:r>
              <w:rPr>
                <w:sz w:val="18"/>
              </w:rPr>
              <w:t>Variable objetivo</w:t>
            </w:r>
          </w:p>
        </w:tc>
        <w:tc>
          <w:tcPr>
            <w:tcW w:type="dxa" w:w="5386"/>
            <w:vAlign w:val="center"/>
            <w:tcMar>
              <w:top w:w="100" w:type="dxa"/>
              <w:start w:w="120" w:type="dxa"/>
              <w:bottom w:w="100" w:type="dxa"/>
              <w:end w:w="120" w:type="dxa"/>
            </w:tcMar>
          </w:tcPr>
          <w:p>
            <w:pPr>
              <w:spacing w:after="0"/>
              <w:jc w:val="center"/>
            </w:pPr>
            <w:r>
              <w:rPr>
                <w:sz w:val="18"/>
              </w:rPr>
              <w:t>Churn</w:t>
            </w:r>
          </w:p>
        </w:tc>
      </w:tr>
    </w:tbl>
    <w:p>
      <w:pPr>
        <w:spacing w:after="0"/>
      </w:pPr>
    </w:p>
    <w:p>
      <w:r>
        <w:t>La columna customerID se elimina antes del entrenamiento porque identifica al cliente, pero no describe su comportamiento. Si se utilizara como predictor, el modelo podría memorizar identificadores sin aprender patrones útiles.</w:t>
      </w:r>
    </w:p>
    <w:p>
      <w:r>
        <w:t>El dataset es sintético y representa clientes de telecomunicaciones; no contiene datos personales reales. El diccionario de variables y el esquema se conservan en metadata/. El archivo LICENSE_DATA.txt documenta las condiciones de uso y CHECKSUMS.sha256 permite comprobar su integridad.</w:t>
      </w:r>
    </w:p>
    <w:p>
      <w:pPr>
        <w:pStyle w:val="Heading1"/>
      </w:pPr>
      <w:r>
        <w:t>Análisis exploratorio</w:t>
      </w:r>
    </w:p>
    <w:p>
      <w:r>
        <w:t>El script scripts/eda.py revisa las dimensiones del archivo, los tipos de variables, los faltantes, los duplicados y la distribucion de Churn. También compara el abandono según el tipo de contrato y el servicio de Internet.</w:t>
      </w:r>
    </w:p>
    <w:p>
      <w:pPr>
        <w:pStyle w:val="ListBullet"/>
        <w:spacing w:after="60"/>
      </w:pPr>
      <w:r>
        <w:t>El churn es mayor en los contratos mes a mes.</w:t>
      </w:r>
    </w:p>
    <w:p>
      <w:pPr>
        <w:pStyle w:val="ListBullet"/>
        <w:spacing w:after="60"/>
      </w:pPr>
      <w:r>
        <w:t>El churn es mayor entre los clientes con fibra óptica.</w:t>
      </w:r>
    </w:p>
    <w:p>
      <w:pPr>
        <w:pStyle w:val="ListBullet"/>
        <w:spacing w:after="60"/>
      </w:pPr>
      <w:r>
        <w:t>Estas relaciones orientan el análisis, pero no demuestran causalidad.</w:t>
      </w:r>
    </w:p>
    <w:p>
      <w:r>
        <w:t>Se corrigió la construcción de la ruta del CSV para que el EDA funcione sin depender de la carpeta desde la cual se ejecuta Python. El resumen generado queda en results/eda_summary.md.</w:t>
      </w:r>
    </w:p>
    <w:p>
      <w:pPr>
        <w:pStyle w:val="Heading1"/>
      </w:pPr>
      <w:r>
        <w:t>Preparación de las variables</w:t>
      </w:r>
    </w:p>
    <w:p>
      <w:pPr>
        <w:keepNext/>
      </w:pPr>
      <w:r>
        <w:t>La preparación se implementa con Pipeline y ColumnTransformer de scikit-learn. Esto une el preprocesamiento y el modelo en un solo objeto, por lo que las mismas transformaciones se aplican al entrenar y al realizar predicciones.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835"/>
            <w:vAlign w:val="center"/>
            <w:shd w:fill="274C77"/>
            <w:tcMar>
              <w:top w:w="100" w:type="dxa"/>
              <w:start w:w="120" w:type="dxa"/>
              <w:bottom w:w="100" w:type="dxa"/>
              <w:end w:w="120" w:type="dxa"/>
            </w:tcMar>
          </w:tcPr>
          <w:p>
            <w:pPr>
              <w:keepNext/>
              <w:spacing w:after="0"/>
              <w:jc w:val="center"/>
            </w:pPr>
            <w:r>
              <w:rPr>
                <w:b/>
                <w:color w:val="FFFFFF"/>
                <w:sz w:val="19"/>
              </w:rPr>
              <w:t>Tipo de variable</w:t>
            </w:r>
          </w:p>
        </w:tc>
        <w:tc>
          <w:tcPr>
            <w:tcW w:type="dxa" w:w="5953"/>
            <w:vAlign w:val="center"/>
            <w:shd w:fill="274C77"/>
            <w:tcMar>
              <w:top w:w="100" w:type="dxa"/>
              <w:start w:w="120" w:type="dxa"/>
              <w:bottom w:w="100" w:type="dxa"/>
              <w:end w:w="120" w:type="dxa"/>
            </w:tcMar>
          </w:tcPr>
          <w:p>
            <w:pPr>
              <w:keepNext/>
              <w:spacing w:after="0"/>
              <w:jc w:val="center"/>
            </w:pPr>
            <w:r>
              <w:rPr>
                <w:b/>
                <w:color w:val="FFFFFF"/>
                <w:sz w:val="19"/>
              </w:rPr>
              <w:t>Tratamiento</w:t>
            </w:r>
          </w:p>
        </w:tc>
      </w:tr>
      <w:tr>
        <w:tc>
          <w:tcPr>
            <w:tcW w:type="dxa" w:w="2835"/>
            <w:vAlign w:val="center"/>
            <w:tcMar>
              <w:top w:w="100" w:type="dxa"/>
              <w:start w:w="120" w:type="dxa"/>
              <w:bottom w:w="100" w:type="dxa"/>
              <w:end w:w="120" w:type="dxa"/>
            </w:tcMar>
          </w:tcPr>
          <w:p>
            <w:pPr>
              <w:spacing w:after="0"/>
              <w:jc w:val="left"/>
            </w:pPr>
            <w:r>
              <w:rPr>
                <w:sz w:val="18"/>
              </w:rPr>
              <w:t>Numéricas</w:t>
            </w:r>
          </w:p>
        </w:tc>
        <w:tc>
          <w:tcPr>
            <w:tcW w:type="dxa" w:w="5953"/>
            <w:vAlign w:val="center"/>
            <w:tcMar>
              <w:top w:w="100" w:type="dxa"/>
              <w:start w:w="120" w:type="dxa"/>
              <w:bottom w:w="100" w:type="dxa"/>
              <w:end w:w="120" w:type="dxa"/>
            </w:tcMar>
          </w:tcPr>
          <w:p>
            <w:pPr>
              <w:spacing w:after="0"/>
              <w:jc w:val="center"/>
            </w:pPr>
            <w:r>
              <w:rPr>
                <w:sz w:val="18"/>
              </w:rPr>
              <w:t>Imputación por mediana y estandarización</w:t>
            </w:r>
          </w:p>
        </w:tc>
      </w:tr>
      <w:tr>
        <w:tc>
          <w:tcPr>
            <w:tcW w:type="dxa" w:w="2835"/>
            <w:vAlign w:val="center"/>
            <w:tcMar>
              <w:top w:w="100" w:type="dxa"/>
              <w:start w:w="120" w:type="dxa"/>
              <w:bottom w:w="100" w:type="dxa"/>
              <w:end w:w="120" w:type="dxa"/>
            </w:tcMar>
            <w:shd w:fill="EEF4F8"/>
          </w:tcPr>
          <w:p>
            <w:pPr>
              <w:spacing w:after="0"/>
              <w:jc w:val="left"/>
            </w:pPr>
            <w:r>
              <w:rPr>
                <w:sz w:val="18"/>
              </w:rPr>
              <w:t>Categóricas</w:t>
            </w:r>
          </w:p>
        </w:tc>
        <w:tc>
          <w:tcPr>
            <w:tcW w:type="dxa" w:w="5953"/>
            <w:vAlign w:val="center"/>
            <w:tcMar>
              <w:top w:w="100" w:type="dxa"/>
              <w:start w:w="120" w:type="dxa"/>
              <w:bottom w:w="100" w:type="dxa"/>
              <w:end w:w="120" w:type="dxa"/>
            </w:tcMar>
            <w:shd w:fill="EEF4F8"/>
          </w:tcPr>
          <w:p>
            <w:pPr>
              <w:spacing w:after="0"/>
              <w:jc w:val="center"/>
            </w:pPr>
            <w:r>
              <w:rPr>
                <w:sz w:val="18"/>
              </w:rPr>
              <w:t>Imputación por moda y One Hot Encoding</w:t>
            </w:r>
          </w:p>
        </w:tc>
      </w:tr>
      <w:tr>
        <w:tc>
          <w:tcPr>
            <w:tcW w:type="dxa" w:w="2835"/>
            <w:vAlign w:val="center"/>
            <w:tcMar>
              <w:top w:w="100" w:type="dxa"/>
              <w:start w:w="120" w:type="dxa"/>
              <w:bottom w:w="100" w:type="dxa"/>
              <w:end w:w="120" w:type="dxa"/>
            </w:tcMar>
          </w:tcPr>
          <w:p>
            <w:pPr>
              <w:spacing w:after="0"/>
              <w:jc w:val="left"/>
            </w:pPr>
            <w:r>
              <w:rPr>
                <w:sz w:val="18"/>
              </w:rPr>
              <w:t>Categorías nuevas</w:t>
            </w:r>
          </w:p>
        </w:tc>
        <w:tc>
          <w:tcPr>
            <w:tcW w:type="dxa" w:w="5953"/>
            <w:vAlign w:val="center"/>
            <w:tcMar>
              <w:top w:w="100" w:type="dxa"/>
              <w:start w:w="120" w:type="dxa"/>
              <w:bottom w:w="100" w:type="dxa"/>
              <w:end w:w="120" w:type="dxa"/>
            </w:tcMar>
          </w:tcPr>
          <w:p>
            <w:pPr>
              <w:spacing w:after="0"/>
              <w:jc w:val="center"/>
            </w:pPr>
            <w:r>
              <w:rPr>
                <w:sz w:val="18"/>
              </w:rPr>
              <w:t>Se ignoran sin interrumpir la predicción</w:t>
            </w:r>
          </w:p>
        </w:tc>
      </w:tr>
    </w:tbl>
    <w:p>
      <w:pPr>
        <w:spacing w:after="0"/>
      </w:pPr>
    </w:p>
    <w:p>
      <w:pPr>
        <w:pStyle w:val="Heading1"/>
      </w:pPr>
      <w:r>
        <w:t>División del dataset</w:t>
      </w:r>
    </w:p>
    <w:p>
      <w:pPr>
        <w:keepNext/>
      </w:pPr>
      <w:r>
        <w:t>Los datos se separan de forma estratificada para conservar una proporción similar de clientes con y sin churn en cada conjunto. Todos los cortes usan random_state igual a 42, lo que permite repetir exactamente la división.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268"/>
            <w:vAlign w:val="center"/>
            <w:shd w:fill="274C77"/>
            <w:tcMar>
              <w:top w:w="100" w:type="dxa"/>
              <w:start w:w="120" w:type="dxa"/>
              <w:bottom w:w="100" w:type="dxa"/>
              <w:end w:w="120" w:type="dxa"/>
            </w:tcMar>
          </w:tcPr>
          <w:p>
            <w:pPr>
              <w:keepNext/>
              <w:spacing w:after="0"/>
              <w:jc w:val="center"/>
            </w:pPr>
            <w:r>
              <w:rPr>
                <w:b/>
                <w:color w:val="FFFFFF"/>
                <w:sz w:val="19"/>
              </w:rPr>
              <w:t>Conjunto</w:t>
            </w:r>
          </w:p>
        </w:tc>
        <w:tc>
          <w:tcPr>
            <w:tcW w:type="dxa" w:w="1701"/>
            <w:vAlign w:val="center"/>
            <w:shd w:fill="274C77"/>
            <w:tcMar>
              <w:top w:w="100" w:type="dxa"/>
              <w:start w:w="120" w:type="dxa"/>
              <w:bottom w:w="100" w:type="dxa"/>
              <w:end w:w="120" w:type="dxa"/>
            </w:tcMar>
          </w:tcPr>
          <w:p>
            <w:pPr>
              <w:keepNext/>
              <w:spacing w:after="0"/>
              <w:jc w:val="center"/>
            </w:pPr>
            <w:r>
              <w:rPr>
                <w:b/>
                <w:color w:val="FFFFFF"/>
                <w:sz w:val="19"/>
              </w:rPr>
              <w:t>Proporción</w:t>
            </w:r>
          </w:p>
        </w:tc>
        <w:tc>
          <w:tcPr>
            <w:tcW w:type="dxa" w:w="4819"/>
            <w:vAlign w:val="center"/>
            <w:shd w:fill="274C77"/>
            <w:tcMar>
              <w:top w:w="100" w:type="dxa"/>
              <w:start w:w="120" w:type="dxa"/>
              <w:bottom w:w="100" w:type="dxa"/>
              <w:end w:w="120" w:type="dxa"/>
            </w:tcMar>
          </w:tcPr>
          <w:p>
            <w:pPr>
              <w:keepNext/>
              <w:spacing w:after="0"/>
              <w:jc w:val="center"/>
            </w:pPr>
            <w:r>
              <w:rPr>
                <w:b/>
                <w:color w:val="FFFFFF"/>
                <w:sz w:val="19"/>
              </w:rPr>
              <w:t>Uso</w:t>
            </w:r>
          </w:p>
        </w:tc>
      </w:tr>
      <w:tr>
        <w:tc>
          <w:tcPr>
            <w:tcW w:type="dxa" w:w="2268"/>
            <w:vAlign w:val="center"/>
            <w:tcMar>
              <w:top w:w="100" w:type="dxa"/>
              <w:start w:w="120" w:type="dxa"/>
              <w:bottom w:w="100" w:type="dxa"/>
              <w:end w:w="120" w:type="dxa"/>
            </w:tcMar>
          </w:tcPr>
          <w:p>
            <w:pPr>
              <w:spacing w:after="0"/>
              <w:jc w:val="left"/>
            </w:pPr>
            <w:r>
              <w:rPr>
                <w:sz w:val="18"/>
              </w:rPr>
              <w:t>Entrenamiento</w:t>
            </w:r>
          </w:p>
        </w:tc>
        <w:tc>
          <w:tcPr>
            <w:tcW w:type="dxa" w:w="1701"/>
            <w:vAlign w:val="center"/>
            <w:tcMar>
              <w:top w:w="100" w:type="dxa"/>
              <w:start w:w="120" w:type="dxa"/>
              <w:bottom w:w="100" w:type="dxa"/>
              <w:end w:w="120" w:type="dxa"/>
            </w:tcMar>
          </w:tcPr>
          <w:p>
            <w:pPr>
              <w:spacing w:after="0"/>
              <w:jc w:val="center"/>
            </w:pPr>
            <w:r>
              <w:rPr>
                <w:sz w:val="18"/>
              </w:rPr>
              <w:t>60 %</w:t>
            </w:r>
          </w:p>
        </w:tc>
        <w:tc>
          <w:tcPr>
            <w:tcW w:type="dxa" w:w="4819"/>
            <w:vAlign w:val="center"/>
            <w:tcMar>
              <w:top w:w="100" w:type="dxa"/>
              <w:start w:w="120" w:type="dxa"/>
              <w:bottom w:w="100" w:type="dxa"/>
              <w:end w:w="120" w:type="dxa"/>
            </w:tcMar>
          </w:tcPr>
          <w:p>
            <w:pPr>
              <w:spacing w:after="0"/>
              <w:jc w:val="center"/>
            </w:pPr>
            <w:r>
              <w:rPr>
                <w:sz w:val="18"/>
              </w:rPr>
              <w:t>Ajustar los modelos candidatos</w:t>
            </w:r>
          </w:p>
        </w:tc>
      </w:tr>
      <w:tr>
        <w:tc>
          <w:tcPr>
            <w:tcW w:type="dxa" w:w="2268"/>
            <w:vAlign w:val="center"/>
            <w:tcMar>
              <w:top w:w="100" w:type="dxa"/>
              <w:start w:w="120" w:type="dxa"/>
              <w:bottom w:w="100" w:type="dxa"/>
              <w:end w:w="120" w:type="dxa"/>
            </w:tcMar>
            <w:shd w:fill="EEF4F8"/>
          </w:tcPr>
          <w:p>
            <w:pPr>
              <w:spacing w:after="0"/>
              <w:jc w:val="left"/>
            </w:pPr>
            <w:r>
              <w:rPr>
                <w:sz w:val="18"/>
              </w:rPr>
              <w:t>Validación</w:t>
            </w:r>
          </w:p>
        </w:tc>
        <w:tc>
          <w:tcPr>
            <w:tcW w:type="dxa" w:w="1701"/>
            <w:vAlign w:val="center"/>
            <w:tcMar>
              <w:top w:w="100" w:type="dxa"/>
              <w:start w:w="120" w:type="dxa"/>
              <w:bottom w:w="100" w:type="dxa"/>
              <w:end w:w="120" w:type="dxa"/>
            </w:tcMar>
            <w:shd w:fill="EEF4F8"/>
          </w:tcPr>
          <w:p>
            <w:pPr>
              <w:spacing w:after="0"/>
              <w:jc w:val="center"/>
            </w:pPr>
            <w:r>
              <w:rPr>
                <w:sz w:val="18"/>
              </w:rPr>
              <w:t>20 %</w:t>
            </w:r>
          </w:p>
        </w:tc>
        <w:tc>
          <w:tcPr>
            <w:tcW w:type="dxa" w:w="4819"/>
            <w:vAlign w:val="center"/>
            <w:tcMar>
              <w:top w:w="100" w:type="dxa"/>
              <w:start w:w="120" w:type="dxa"/>
              <w:bottom w:w="100" w:type="dxa"/>
              <w:end w:w="120" w:type="dxa"/>
            </w:tcMar>
            <w:shd w:fill="EEF4F8"/>
          </w:tcPr>
          <w:p>
            <w:pPr>
              <w:spacing w:after="0"/>
              <w:jc w:val="center"/>
            </w:pPr>
            <w:r>
              <w:rPr>
                <w:sz w:val="18"/>
              </w:rPr>
              <w:t>Comparar modelos y elegir el umbral</w:t>
            </w:r>
          </w:p>
        </w:tc>
      </w:tr>
      <w:tr>
        <w:tc>
          <w:tcPr>
            <w:tcW w:type="dxa" w:w="2268"/>
            <w:vAlign w:val="center"/>
            <w:tcMar>
              <w:top w:w="100" w:type="dxa"/>
              <w:start w:w="120" w:type="dxa"/>
              <w:bottom w:w="100" w:type="dxa"/>
              <w:end w:w="120" w:type="dxa"/>
            </w:tcMar>
          </w:tcPr>
          <w:p>
            <w:pPr>
              <w:spacing w:after="0"/>
              <w:jc w:val="left"/>
            </w:pPr>
            <w:r>
              <w:rPr>
                <w:sz w:val="18"/>
              </w:rPr>
              <w:t>Test</w:t>
            </w:r>
          </w:p>
        </w:tc>
        <w:tc>
          <w:tcPr>
            <w:tcW w:type="dxa" w:w="1701"/>
            <w:vAlign w:val="center"/>
            <w:tcMar>
              <w:top w:w="100" w:type="dxa"/>
              <w:start w:w="120" w:type="dxa"/>
              <w:bottom w:w="100" w:type="dxa"/>
              <w:end w:w="120" w:type="dxa"/>
            </w:tcMar>
          </w:tcPr>
          <w:p>
            <w:pPr>
              <w:spacing w:after="0"/>
              <w:jc w:val="center"/>
            </w:pPr>
            <w:r>
              <w:rPr>
                <w:sz w:val="18"/>
              </w:rPr>
              <w:t>20 %</w:t>
            </w:r>
          </w:p>
        </w:tc>
        <w:tc>
          <w:tcPr>
            <w:tcW w:type="dxa" w:w="4819"/>
            <w:vAlign w:val="center"/>
            <w:tcMar>
              <w:top w:w="100" w:type="dxa"/>
              <w:start w:w="120" w:type="dxa"/>
              <w:bottom w:w="100" w:type="dxa"/>
              <w:end w:w="120" w:type="dxa"/>
            </w:tcMar>
          </w:tcPr>
          <w:p>
            <w:pPr>
              <w:spacing w:after="0"/>
              <w:jc w:val="center"/>
            </w:pPr>
            <w:r>
              <w:rPr>
                <w:sz w:val="18"/>
              </w:rPr>
              <w:t>Medir una sola vez el candidato final</w:t>
            </w:r>
          </w:p>
        </w:tc>
      </w:tr>
    </w:tbl>
    <w:p>
      <w:pPr>
        <w:spacing w:after="0"/>
      </w:pPr>
    </w:p>
    <w:p>
      <w:r>
        <w:t>El conjunto de test permanece aislado durante la selección. Esta separación evita elegir el modelo basándose en los mismos datos que luego se utilizan para informar su desempeño final.</w:t>
      </w:r>
    </w:p>
    <w:p>
      <w:pPr>
        <w:pStyle w:val="Heading1"/>
      </w:pPr>
      <w:r>
        <w:t>Modelos comparados</w:t>
      </w:r>
    </w:p>
    <w:p>
      <w:pPr>
        <w:keepNext/>
      </w:pPr>
      <w:r>
        <w:t>Se ejecutan seis configuraciones sobre el conjunto de validacion. El Dummy Classifier funciona como referencia minima y permite comprobar si los modelos reales aportan una mejora.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6"/>
        <w:gridCol w:w="1976"/>
        <w:gridCol w:w="1976"/>
        <w:gridCol w:w="1976"/>
        <w:gridCol w:w="1976"/>
      </w:tblGrid>
      <w:tr>
        <w:trPr>
          <w:tblHeader w:val="true"/>
        </w:trPr>
        <w:tc>
          <w:tcPr>
            <w:tcW w:type="dxa" w:w="4025"/>
            <w:vAlign w:val="center"/>
            <w:shd w:fill="274C77"/>
            <w:tcMar>
              <w:top w:w="100" w:type="dxa"/>
              <w:start w:w="120" w:type="dxa"/>
              <w:bottom w:w="100" w:type="dxa"/>
              <w:end w:w="120" w:type="dxa"/>
            </w:tcMar>
          </w:tcPr>
          <w:p>
            <w:pPr>
              <w:keepNext/>
              <w:spacing w:after="0"/>
              <w:jc w:val="center"/>
            </w:pPr>
            <w:r>
              <w:rPr>
                <w:b/>
                <w:color w:val="FFFFFF"/>
                <w:sz w:val="19"/>
              </w:rPr>
              <w:t>Configuración</w:t>
            </w:r>
          </w:p>
        </w:tc>
        <w:tc>
          <w:tcPr>
            <w:tcW w:type="dxa" w:w="1191"/>
            <w:vAlign w:val="center"/>
            <w:shd w:fill="274C77"/>
            <w:tcMar>
              <w:top w:w="100" w:type="dxa"/>
              <w:start w:w="120" w:type="dxa"/>
              <w:bottom w:w="100" w:type="dxa"/>
              <w:end w:w="120" w:type="dxa"/>
            </w:tcMar>
          </w:tcPr>
          <w:p>
            <w:pPr>
              <w:keepNext/>
              <w:spacing w:after="0"/>
              <w:jc w:val="center"/>
            </w:pPr>
            <w:r>
              <w:rPr>
                <w:b/>
                <w:color w:val="FFFFFF"/>
                <w:sz w:val="19"/>
              </w:rPr>
              <w:t>Precisión</w:t>
            </w:r>
          </w:p>
        </w:tc>
        <w:tc>
          <w:tcPr>
            <w:tcW w:type="dxa" w:w="1134"/>
            <w:vAlign w:val="center"/>
            <w:shd w:fill="274C77"/>
            <w:tcMar>
              <w:top w:w="100" w:type="dxa"/>
              <w:start w:w="120" w:type="dxa"/>
              <w:bottom w:w="100" w:type="dxa"/>
              <w:end w:w="120" w:type="dxa"/>
            </w:tcMar>
          </w:tcPr>
          <w:p>
            <w:pPr>
              <w:keepNext/>
              <w:spacing w:after="0"/>
              <w:jc w:val="center"/>
            </w:pPr>
            <w:r>
              <w:rPr>
                <w:b/>
                <w:color w:val="FFFFFF"/>
                <w:sz w:val="19"/>
              </w:rPr>
              <w:t>Recall</w:t>
            </w:r>
          </w:p>
        </w:tc>
        <w:tc>
          <w:tcPr>
            <w:tcW w:type="dxa" w:w="964"/>
            <w:vAlign w:val="center"/>
            <w:shd w:fill="274C77"/>
            <w:tcMar>
              <w:top w:w="100" w:type="dxa"/>
              <w:start w:w="120" w:type="dxa"/>
              <w:bottom w:w="100" w:type="dxa"/>
              <w:end w:w="120" w:type="dxa"/>
            </w:tcMar>
          </w:tcPr>
          <w:p>
            <w:pPr>
              <w:keepNext/>
              <w:spacing w:after="0"/>
              <w:jc w:val="center"/>
            </w:pPr>
            <w:r>
              <w:rPr>
                <w:b/>
                <w:color w:val="FFFFFF"/>
                <w:sz w:val="19"/>
              </w:rPr>
              <w:t>F1</w:t>
            </w:r>
          </w:p>
        </w:tc>
        <w:tc>
          <w:tcPr>
            <w:tcW w:type="dxa" w:w="1304"/>
            <w:vAlign w:val="center"/>
            <w:shd w:fill="274C77"/>
            <w:tcMar>
              <w:top w:w="100" w:type="dxa"/>
              <w:start w:w="120" w:type="dxa"/>
              <w:bottom w:w="100" w:type="dxa"/>
              <w:end w:w="120" w:type="dxa"/>
            </w:tcMar>
          </w:tcPr>
          <w:p>
            <w:pPr>
              <w:keepNext/>
              <w:spacing w:after="0"/>
              <w:jc w:val="center"/>
            </w:pPr>
            <w:r>
              <w:rPr>
                <w:b/>
                <w:color w:val="FFFFFF"/>
                <w:sz w:val="19"/>
              </w:rPr>
              <w:t>ROC AUC</w:t>
            </w:r>
          </w:p>
        </w:tc>
      </w:tr>
      <w:tr>
        <w:tc>
          <w:tcPr>
            <w:tcW w:type="dxa" w:w="4025"/>
            <w:vAlign w:val="center"/>
            <w:tcMar>
              <w:top w:w="100" w:type="dxa"/>
              <w:start w:w="120" w:type="dxa"/>
              <w:bottom w:w="100" w:type="dxa"/>
              <w:end w:w="120" w:type="dxa"/>
            </w:tcMar>
          </w:tcPr>
          <w:p>
            <w:pPr>
              <w:spacing w:after="0"/>
              <w:jc w:val="left"/>
            </w:pPr>
            <w:r>
              <w:rPr>
                <w:sz w:val="18"/>
              </w:rPr>
              <w:t>Dummy baseline</w:t>
            </w:r>
          </w:p>
        </w:tc>
        <w:tc>
          <w:tcPr>
            <w:tcW w:type="dxa" w:w="1191"/>
            <w:vAlign w:val="center"/>
            <w:tcMar>
              <w:top w:w="100" w:type="dxa"/>
              <w:start w:w="120" w:type="dxa"/>
              <w:bottom w:w="100" w:type="dxa"/>
              <w:end w:w="120" w:type="dxa"/>
            </w:tcMar>
          </w:tcPr>
          <w:p>
            <w:pPr>
              <w:spacing w:after="0"/>
              <w:jc w:val="center"/>
            </w:pPr>
            <w:r>
              <w:rPr>
                <w:sz w:val="18"/>
              </w:rPr>
              <w:t>0,000</w:t>
            </w:r>
          </w:p>
        </w:tc>
        <w:tc>
          <w:tcPr>
            <w:tcW w:type="dxa" w:w="1134"/>
            <w:vAlign w:val="center"/>
            <w:tcMar>
              <w:top w:w="100" w:type="dxa"/>
              <w:start w:w="120" w:type="dxa"/>
              <w:bottom w:w="100" w:type="dxa"/>
              <w:end w:w="120" w:type="dxa"/>
            </w:tcMar>
          </w:tcPr>
          <w:p>
            <w:pPr>
              <w:spacing w:after="0"/>
              <w:jc w:val="center"/>
            </w:pPr>
            <w:r>
              <w:rPr>
                <w:sz w:val="18"/>
              </w:rPr>
              <w:t>0,000</w:t>
            </w:r>
          </w:p>
        </w:tc>
        <w:tc>
          <w:tcPr>
            <w:tcW w:type="dxa" w:w="964"/>
            <w:vAlign w:val="center"/>
            <w:tcMar>
              <w:top w:w="100" w:type="dxa"/>
              <w:start w:w="120" w:type="dxa"/>
              <w:bottom w:w="100" w:type="dxa"/>
              <w:end w:w="120" w:type="dxa"/>
            </w:tcMar>
          </w:tcPr>
          <w:p>
            <w:pPr>
              <w:spacing w:after="0"/>
              <w:jc w:val="center"/>
            </w:pPr>
            <w:r>
              <w:rPr>
                <w:sz w:val="18"/>
              </w:rPr>
              <w:t>0,000</w:t>
            </w:r>
          </w:p>
        </w:tc>
        <w:tc>
          <w:tcPr>
            <w:tcW w:type="dxa" w:w="1304"/>
            <w:vAlign w:val="center"/>
            <w:tcMar>
              <w:top w:w="100" w:type="dxa"/>
              <w:start w:w="120" w:type="dxa"/>
              <w:bottom w:w="100" w:type="dxa"/>
              <w:end w:w="120" w:type="dxa"/>
            </w:tcMar>
          </w:tcPr>
          <w:p>
            <w:pPr>
              <w:spacing w:after="0"/>
              <w:jc w:val="center"/>
            </w:pPr>
            <w:r>
              <w:rPr>
                <w:sz w:val="18"/>
              </w:rPr>
              <w:t>0,500</w:t>
            </w:r>
          </w:p>
        </w:tc>
      </w:tr>
      <w:tr>
        <w:tc>
          <w:tcPr>
            <w:tcW w:type="dxa" w:w="4025"/>
            <w:vAlign w:val="center"/>
            <w:tcMar>
              <w:top w:w="100" w:type="dxa"/>
              <w:start w:w="120" w:type="dxa"/>
              <w:bottom w:w="100" w:type="dxa"/>
              <w:end w:w="120" w:type="dxa"/>
            </w:tcMar>
            <w:shd w:fill="EEF4F8"/>
          </w:tcPr>
          <w:p>
            <w:pPr>
              <w:spacing w:after="0"/>
              <w:jc w:val="left"/>
            </w:pPr>
            <w:r>
              <w:rPr>
                <w:sz w:val="18"/>
              </w:rPr>
              <w:t>Logistic Regression C 0,5</w:t>
            </w:r>
          </w:p>
        </w:tc>
        <w:tc>
          <w:tcPr>
            <w:tcW w:type="dxa" w:w="1191"/>
            <w:vAlign w:val="center"/>
            <w:tcMar>
              <w:top w:w="100" w:type="dxa"/>
              <w:start w:w="120" w:type="dxa"/>
              <w:bottom w:w="100" w:type="dxa"/>
              <w:end w:w="120" w:type="dxa"/>
            </w:tcMar>
            <w:shd w:fill="EEF4F8"/>
          </w:tcPr>
          <w:p>
            <w:pPr>
              <w:spacing w:after="0"/>
              <w:jc w:val="center"/>
            </w:pPr>
            <w:r>
              <w:rPr>
                <w:sz w:val="18"/>
              </w:rPr>
              <w:t>0,653</w:t>
            </w:r>
          </w:p>
        </w:tc>
        <w:tc>
          <w:tcPr>
            <w:tcW w:type="dxa" w:w="1134"/>
            <w:vAlign w:val="center"/>
            <w:tcMar>
              <w:top w:w="100" w:type="dxa"/>
              <w:start w:w="120" w:type="dxa"/>
              <w:bottom w:w="100" w:type="dxa"/>
              <w:end w:w="120" w:type="dxa"/>
            </w:tcMar>
            <w:shd w:fill="EEF4F8"/>
          </w:tcPr>
          <w:p>
            <w:pPr>
              <w:spacing w:after="0"/>
              <w:jc w:val="center"/>
            </w:pPr>
            <w:r>
              <w:rPr>
                <w:sz w:val="18"/>
              </w:rPr>
              <w:t>0,477</w:t>
            </w:r>
          </w:p>
        </w:tc>
        <w:tc>
          <w:tcPr>
            <w:tcW w:type="dxa" w:w="964"/>
            <w:vAlign w:val="center"/>
            <w:tcMar>
              <w:top w:w="100" w:type="dxa"/>
              <w:start w:w="120" w:type="dxa"/>
              <w:bottom w:w="100" w:type="dxa"/>
              <w:end w:w="120" w:type="dxa"/>
            </w:tcMar>
            <w:shd w:fill="EEF4F8"/>
          </w:tcPr>
          <w:p>
            <w:pPr>
              <w:spacing w:after="0"/>
              <w:jc w:val="center"/>
            </w:pPr>
            <w:r>
              <w:rPr>
                <w:sz w:val="18"/>
              </w:rPr>
              <w:t>0,551</w:t>
            </w:r>
          </w:p>
        </w:tc>
        <w:tc>
          <w:tcPr>
            <w:tcW w:type="dxa" w:w="1304"/>
            <w:vAlign w:val="center"/>
            <w:tcMar>
              <w:top w:w="100" w:type="dxa"/>
              <w:start w:w="120" w:type="dxa"/>
              <w:bottom w:w="100" w:type="dxa"/>
              <w:end w:w="120" w:type="dxa"/>
            </w:tcMar>
            <w:shd w:fill="EEF4F8"/>
          </w:tcPr>
          <w:p>
            <w:pPr>
              <w:spacing w:after="0"/>
              <w:jc w:val="center"/>
            </w:pPr>
            <w:r>
              <w:rPr>
                <w:sz w:val="18"/>
              </w:rPr>
              <w:t>0,822</w:t>
            </w:r>
          </w:p>
        </w:tc>
      </w:tr>
      <w:tr>
        <w:tc>
          <w:tcPr>
            <w:tcW w:type="dxa" w:w="4025"/>
            <w:vAlign w:val="center"/>
            <w:tcMar>
              <w:top w:w="100" w:type="dxa"/>
              <w:start w:w="120" w:type="dxa"/>
              <w:bottom w:w="100" w:type="dxa"/>
              <w:end w:w="120" w:type="dxa"/>
            </w:tcMar>
          </w:tcPr>
          <w:p>
            <w:pPr>
              <w:spacing w:after="0"/>
              <w:jc w:val="left"/>
            </w:pPr>
            <w:r>
              <w:rPr>
                <w:sz w:val="18"/>
              </w:rPr>
              <w:t>Logistic Regression C 1</w:t>
            </w:r>
          </w:p>
        </w:tc>
        <w:tc>
          <w:tcPr>
            <w:tcW w:type="dxa" w:w="1191"/>
            <w:vAlign w:val="center"/>
            <w:tcMar>
              <w:top w:w="100" w:type="dxa"/>
              <w:start w:w="120" w:type="dxa"/>
              <w:bottom w:w="100" w:type="dxa"/>
              <w:end w:w="120" w:type="dxa"/>
            </w:tcMar>
          </w:tcPr>
          <w:p>
            <w:pPr>
              <w:spacing w:after="0"/>
              <w:jc w:val="center"/>
            </w:pPr>
            <w:r>
              <w:rPr>
                <w:sz w:val="18"/>
              </w:rPr>
              <w:t>0,657</w:t>
            </w:r>
          </w:p>
        </w:tc>
        <w:tc>
          <w:tcPr>
            <w:tcW w:type="dxa" w:w="1134"/>
            <w:vAlign w:val="center"/>
            <w:tcMar>
              <w:top w:w="100" w:type="dxa"/>
              <w:start w:w="120" w:type="dxa"/>
              <w:bottom w:w="100" w:type="dxa"/>
              <w:end w:w="120" w:type="dxa"/>
            </w:tcMar>
          </w:tcPr>
          <w:p>
            <w:pPr>
              <w:spacing w:after="0"/>
              <w:jc w:val="center"/>
            </w:pPr>
            <w:r>
              <w:rPr>
                <w:sz w:val="18"/>
              </w:rPr>
              <w:t>0,480</w:t>
            </w:r>
          </w:p>
        </w:tc>
        <w:tc>
          <w:tcPr>
            <w:tcW w:type="dxa" w:w="964"/>
            <w:vAlign w:val="center"/>
            <w:tcMar>
              <w:top w:w="100" w:type="dxa"/>
              <w:start w:w="120" w:type="dxa"/>
              <w:bottom w:w="100" w:type="dxa"/>
              <w:end w:w="120" w:type="dxa"/>
            </w:tcMar>
          </w:tcPr>
          <w:p>
            <w:pPr>
              <w:spacing w:after="0"/>
              <w:jc w:val="center"/>
            </w:pPr>
            <w:r>
              <w:rPr>
                <w:sz w:val="18"/>
              </w:rPr>
              <w:t>0,555</w:t>
            </w:r>
          </w:p>
        </w:tc>
        <w:tc>
          <w:tcPr>
            <w:tcW w:type="dxa" w:w="1304"/>
            <w:vAlign w:val="center"/>
            <w:tcMar>
              <w:top w:w="100" w:type="dxa"/>
              <w:start w:w="120" w:type="dxa"/>
              <w:bottom w:w="100" w:type="dxa"/>
              <w:end w:w="120" w:type="dxa"/>
            </w:tcMar>
          </w:tcPr>
          <w:p>
            <w:pPr>
              <w:spacing w:after="0"/>
              <w:jc w:val="center"/>
            </w:pPr>
            <w:r>
              <w:rPr>
                <w:sz w:val="18"/>
              </w:rPr>
              <w:t>0,821</w:t>
            </w:r>
          </w:p>
        </w:tc>
      </w:tr>
      <w:tr>
        <w:tc>
          <w:tcPr>
            <w:tcW w:type="dxa" w:w="4025"/>
            <w:vAlign w:val="center"/>
            <w:tcMar>
              <w:top w:w="100" w:type="dxa"/>
              <w:start w:w="120" w:type="dxa"/>
              <w:bottom w:w="100" w:type="dxa"/>
              <w:end w:w="120" w:type="dxa"/>
            </w:tcMar>
            <w:shd w:fill="EEF4F8"/>
          </w:tcPr>
          <w:p>
            <w:pPr>
              <w:spacing w:after="0"/>
              <w:jc w:val="left"/>
            </w:pPr>
            <w:r>
              <w:rPr>
                <w:sz w:val="18"/>
              </w:rPr>
              <w:t>Logistic Regression C 1 umbral 0,35</w:t>
            </w:r>
          </w:p>
        </w:tc>
        <w:tc>
          <w:tcPr>
            <w:tcW w:type="dxa" w:w="1191"/>
            <w:vAlign w:val="center"/>
            <w:tcMar>
              <w:top w:w="100" w:type="dxa"/>
              <w:start w:w="120" w:type="dxa"/>
              <w:bottom w:w="100" w:type="dxa"/>
              <w:end w:w="120" w:type="dxa"/>
            </w:tcMar>
            <w:shd w:fill="EEF4F8"/>
          </w:tcPr>
          <w:p>
            <w:pPr>
              <w:spacing w:after="0"/>
              <w:jc w:val="center"/>
            </w:pPr>
            <w:r>
              <w:rPr>
                <w:sz w:val="18"/>
              </w:rPr>
              <w:t>0,543</w:t>
            </w:r>
          </w:p>
        </w:tc>
        <w:tc>
          <w:tcPr>
            <w:tcW w:type="dxa" w:w="1134"/>
            <w:vAlign w:val="center"/>
            <w:tcMar>
              <w:top w:w="100" w:type="dxa"/>
              <w:start w:w="120" w:type="dxa"/>
              <w:bottom w:w="100" w:type="dxa"/>
              <w:end w:w="120" w:type="dxa"/>
            </w:tcMar>
            <w:shd w:fill="EEF4F8"/>
          </w:tcPr>
          <w:p>
            <w:pPr>
              <w:spacing w:after="0"/>
              <w:jc w:val="center"/>
            </w:pPr>
            <w:r>
              <w:rPr>
                <w:sz w:val="18"/>
              </w:rPr>
              <w:t>0,666</w:t>
            </w:r>
          </w:p>
        </w:tc>
        <w:tc>
          <w:tcPr>
            <w:tcW w:type="dxa" w:w="964"/>
            <w:vAlign w:val="center"/>
            <w:tcMar>
              <w:top w:w="100" w:type="dxa"/>
              <w:start w:w="120" w:type="dxa"/>
              <w:bottom w:w="100" w:type="dxa"/>
              <w:end w:w="120" w:type="dxa"/>
            </w:tcMar>
            <w:shd w:fill="EEF4F8"/>
          </w:tcPr>
          <w:p>
            <w:pPr>
              <w:spacing w:after="0"/>
              <w:jc w:val="center"/>
            </w:pPr>
            <w:r>
              <w:rPr>
                <w:sz w:val="18"/>
              </w:rPr>
              <w:t>0,598</w:t>
            </w:r>
          </w:p>
        </w:tc>
        <w:tc>
          <w:tcPr>
            <w:tcW w:type="dxa" w:w="1304"/>
            <w:vAlign w:val="center"/>
            <w:tcMar>
              <w:top w:w="100" w:type="dxa"/>
              <w:start w:w="120" w:type="dxa"/>
              <w:bottom w:w="100" w:type="dxa"/>
              <w:end w:w="120" w:type="dxa"/>
            </w:tcMar>
            <w:shd w:fill="EEF4F8"/>
          </w:tcPr>
          <w:p>
            <w:pPr>
              <w:spacing w:after="0"/>
              <w:jc w:val="center"/>
            </w:pPr>
            <w:r>
              <w:rPr>
                <w:sz w:val="18"/>
              </w:rPr>
              <w:t>0,821</w:t>
            </w:r>
          </w:p>
        </w:tc>
      </w:tr>
      <w:tr>
        <w:tc>
          <w:tcPr>
            <w:tcW w:type="dxa" w:w="4025"/>
            <w:vAlign w:val="center"/>
            <w:tcMar>
              <w:top w:w="100" w:type="dxa"/>
              <w:start w:w="120" w:type="dxa"/>
              <w:bottom w:w="100" w:type="dxa"/>
              <w:end w:w="120" w:type="dxa"/>
            </w:tcMar>
          </w:tcPr>
          <w:p>
            <w:pPr>
              <w:spacing w:after="0"/>
              <w:jc w:val="left"/>
            </w:pPr>
            <w:r>
              <w:rPr>
                <w:sz w:val="18"/>
              </w:rPr>
              <w:t>Random Forest 200 árboles</w:t>
            </w:r>
          </w:p>
        </w:tc>
        <w:tc>
          <w:tcPr>
            <w:tcW w:type="dxa" w:w="1191"/>
            <w:vAlign w:val="center"/>
            <w:tcMar>
              <w:top w:w="100" w:type="dxa"/>
              <w:start w:w="120" w:type="dxa"/>
              <w:bottom w:w="100" w:type="dxa"/>
              <w:end w:w="120" w:type="dxa"/>
            </w:tcMar>
          </w:tcPr>
          <w:p>
            <w:pPr>
              <w:spacing w:after="0"/>
              <w:jc w:val="center"/>
            </w:pPr>
            <w:r>
              <w:rPr>
                <w:sz w:val="18"/>
              </w:rPr>
              <w:t>0,553</w:t>
            </w:r>
          </w:p>
        </w:tc>
        <w:tc>
          <w:tcPr>
            <w:tcW w:type="dxa" w:w="1134"/>
            <w:vAlign w:val="center"/>
            <w:tcMar>
              <w:top w:w="100" w:type="dxa"/>
              <w:start w:w="120" w:type="dxa"/>
              <w:bottom w:w="100" w:type="dxa"/>
              <w:end w:w="120" w:type="dxa"/>
            </w:tcMar>
          </w:tcPr>
          <w:p>
            <w:pPr>
              <w:spacing w:after="0"/>
              <w:jc w:val="center"/>
            </w:pPr>
            <w:r>
              <w:rPr>
                <w:sz w:val="18"/>
              </w:rPr>
              <w:t>0,620</w:t>
            </w:r>
          </w:p>
        </w:tc>
        <w:tc>
          <w:tcPr>
            <w:tcW w:type="dxa" w:w="964"/>
            <w:vAlign w:val="center"/>
            <w:tcMar>
              <w:top w:w="100" w:type="dxa"/>
              <w:start w:w="120" w:type="dxa"/>
              <w:bottom w:w="100" w:type="dxa"/>
              <w:end w:w="120" w:type="dxa"/>
            </w:tcMar>
          </w:tcPr>
          <w:p>
            <w:pPr>
              <w:spacing w:after="0"/>
              <w:jc w:val="center"/>
            </w:pPr>
            <w:r>
              <w:rPr>
                <w:sz w:val="18"/>
              </w:rPr>
              <w:t>0,584</w:t>
            </w:r>
          </w:p>
        </w:tc>
        <w:tc>
          <w:tcPr>
            <w:tcW w:type="dxa" w:w="1304"/>
            <w:vAlign w:val="center"/>
            <w:tcMar>
              <w:top w:w="100" w:type="dxa"/>
              <w:start w:w="120" w:type="dxa"/>
              <w:bottom w:w="100" w:type="dxa"/>
              <w:end w:w="120" w:type="dxa"/>
            </w:tcMar>
          </w:tcPr>
          <w:p>
            <w:pPr>
              <w:spacing w:after="0"/>
              <w:jc w:val="center"/>
            </w:pPr>
            <w:r>
              <w:rPr>
                <w:sz w:val="18"/>
              </w:rPr>
              <w:t>0,797</w:t>
            </w:r>
          </w:p>
        </w:tc>
      </w:tr>
      <w:tr>
        <w:tc>
          <w:tcPr>
            <w:tcW w:type="dxa" w:w="4025"/>
            <w:vAlign w:val="center"/>
            <w:tcMar>
              <w:top w:w="100" w:type="dxa"/>
              <w:start w:w="120" w:type="dxa"/>
              <w:bottom w:w="100" w:type="dxa"/>
              <w:end w:w="120" w:type="dxa"/>
            </w:tcMar>
            <w:shd w:fill="EEF4F8"/>
          </w:tcPr>
          <w:p>
            <w:pPr>
              <w:spacing w:after="0"/>
              <w:jc w:val="left"/>
            </w:pPr>
            <w:r>
              <w:rPr>
                <w:sz w:val="18"/>
              </w:rPr>
              <w:t>Random Forest 300 árboles profundidad 12</w:t>
            </w:r>
          </w:p>
        </w:tc>
        <w:tc>
          <w:tcPr>
            <w:tcW w:type="dxa" w:w="1191"/>
            <w:vAlign w:val="center"/>
            <w:tcMar>
              <w:top w:w="100" w:type="dxa"/>
              <w:start w:w="120" w:type="dxa"/>
              <w:bottom w:w="100" w:type="dxa"/>
              <w:end w:w="120" w:type="dxa"/>
            </w:tcMar>
            <w:shd w:fill="EEF4F8"/>
          </w:tcPr>
          <w:p>
            <w:pPr>
              <w:spacing w:after="0"/>
              <w:jc w:val="center"/>
            </w:pPr>
            <w:r>
              <w:rPr>
                <w:sz w:val="18"/>
              </w:rPr>
              <w:t>0,523</w:t>
            </w:r>
          </w:p>
        </w:tc>
        <w:tc>
          <w:tcPr>
            <w:tcW w:type="dxa" w:w="1134"/>
            <w:vAlign w:val="center"/>
            <w:tcMar>
              <w:top w:w="100" w:type="dxa"/>
              <w:start w:w="120" w:type="dxa"/>
              <w:bottom w:w="100" w:type="dxa"/>
              <w:end w:w="120" w:type="dxa"/>
            </w:tcMar>
            <w:shd w:fill="EEF4F8"/>
          </w:tcPr>
          <w:p>
            <w:pPr>
              <w:spacing w:after="0"/>
              <w:jc w:val="center"/>
            </w:pPr>
            <w:r>
              <w:rPr>
                <w:sz w:val="18"/>
              </w:rPr>
              <w:t>0,701</w:t>
            </w:r>
          </w:p>
        </w:tc>
        <w:tc>
          <w:tcPr>
            <w:tcW w:type="dxa" w:w="964"/>
            <w:vAlign w:val="center"/>
            <w:tcMar>
              <w:top w:w="100" w:type="dxa"/>
              <w:start w:w="120" w:type="dxa"/>
              <w:bottom w:w="100" w:type="dxa"/>
              <w:end w:w="120" w:type="dxa"/>
            </w:tcMar>
            <w:shd w:fill="EEF4F8"/>
          </w:tcPr>
          <w:p>
            <w:pPr>
              <w:spacing w:after="0"/>
              <w:jc w:val="center"/>
            </w:pPr>
            <w:r>
              <w:rPr>
                <w:sz w:val="18"/>
              </w:rPr>
              <w:t>0,599</w:t>
            </w:r>
          </w:p>
        </w:tc>
        <w:tc>
          <w:tcPr>
            <w:tcW w:type="dxa" w:w="1304"/>
            <w:vAlign w:val="center"/>
            <w:tcMar>
              <w:top w:w="100" w:type="dxa"/>
              <w:start w:w="120" w:type="dxa"/>
              <w:bottom w:w="100" w:type="dxa"/>
              <w:end w:w="120" w:type="dxa"/>
            </w:tcMar>
            <w:shd w:fill="EEF4F8"/>
          </w:tcPr>
          <w:p>
            <w:pPr>
              <w:spacing w:after="0"/>
              <w:jc w:val="center"/>
            </w:pPr>
            <w:r>
              <w:rPr>
                <w:sz w:val="18"/>
              </w:rPr>
              <w:t>0,804</w:t>
            </w:r>
          </w:p>
        </w:tc>
      </w:tr>
    </w:tbl>
    <w:p>
      <w:pPr>
        <w:spacing w:after="0"/>
      </w:pPr>
    </w:p>
    <w:p>
      <w:pPr>
        <w:pStyle w:val="Heading1"/>
      </w:pPr>
      <w:r>
        <w:t>Criterio de selección</w:t>
      </w:r>
    </w:p>
    <w:p>
      <w:r>
        <w:t>La selección no depende solamente de la exactitud. En este problema importa especialmente reducir los falsos negativos, porque representan clientes que abandonarán y no serán identificados para una acción de retención.</w:t>
      </w:r>
    </w:p>
    <w:p>
      <w:pPr>
        <w:spacing w:before="60" w:after="140"/>
        <w:ind w:left="397" w:right="397"/>
      </w:pPr>
      <w:r>
        <w:rPr>
          <w:rFonts w:ascii="Consolas" w:hAnsi="Consolas"/>
          <w:sz w:val="19"/>
        </w:rPr>
        <w:t>Puntaje = 0,50 x Recall + 0,30 x F1 + 0,20 x ROC AUC</w:t>
      </w:r>
    </w:p>
    <w:p>
      <w:pPr>
        <w:pStyle w:val="ListBullet"/>
        <w:spacing w:after="60"/>
      </w:pPr>
      <w:r>
        <w:t>Precisión indica cuántos clientes marcados como riesgo realmente abandonan.</w:t>
      </w:r>
    </w:p>
    <w:p>
      <w:pPr>
        <w:pStyle w:val="ListBullet"/>
        <w:spacing w:after="60"/>
      </w:pPr>
      <w:r>
        <w:t>Recall indica cuántos abandonos reales logra detectar el modelo.</w:t>
      </w:r>
    </w:p>
    <w:p>
      <w:pPr>
        <w:pStyle w:val="ListBullet"/>
        <w:spacing w:after="60"/>
      </w:pPr>
      <w:r>
        <w:t>F1 resume el equilibrio entre precisión y recall.</w:t>
      </w:r>
    </w:p>
    <w:p>
      <w:pPr>
        <w:pStyle w:val="ListBullet"/>
        <w:spacing w:after="60"/>
      </w:pPr>
      <w:r>
        <w:t>ROC AUC mide la capacidad general para separar ambas clases.</w:t>
      </w:r>
    </w:p>
    <w:p>
      <w:pPr>
        <w:pStyle w:val="ListBullet"/>
        <w:spacing w:after="60"/>
      </w:pPr>
      <w:r>
        <w:t>Los falsos positivos generan acciones comerciales innecesarias.</w:t>
      </w:r>
    </w:p>
    <w:p>
      <w:pPr>
        <w:pStyle w:val="ListBullet"/>
        <w:spacing w:after="60"/>
      </w:pPr>
      <w:r>
        <w:t>Los falsos negativos dejan sin detectar a clientes que abandonarán.</w:t>
      </w:r>
    </w:p>
    <w:p>
      <w:pPr>
        <w:pStyle w:val="Heading1"/>
      </w:pPr>
      <w:r>
        <w:t>Resultado final</w:t>
      </w:r>
    </w:p>
    <w:p>
      <w:pPr>
        <w:keepNext/>
      </w:pPr>
      <w:r>
        <w:t>El candidato elegido en validacion fue un Random Forest con 300 árboles, profundidad máxima 12 y umbral 0,5. Luego se reentrenó con entrenamiento más validación y se evaluó una sola vez sobre el test.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11"/>
        <w:gridCol w:w="1411"/>
        <w:gridCol w:w="1411"/>
        <w:gridCol w:w="1411"/>
        <w:gridCol w:w="1411"/>
        <w:gridCol w:w="1411"/>
        <w:gridCol w:w="1411"/>
      </w:tblGrid>
      <w:tr>
        <w:trPr>
          <w:tblHeader w:val="true"/>
        </w:trPr>
        <w:tc>
          <w:tcPr>
            <w:tcW w:type="dxa" w:w="1247"/>
            <w:vAlign w:val="center"/>
            <w:shd w:fill="274C77"/>
            <w:tcMar>
              <w:top w:w="100" w:type="dxa"/>
              <w:start w:w="120" w:type="dxa"/>
              <w:bottom w:w="100" w:type="dxa"/>
              <w:end w:w="120" w:type="dxa"/>
            </w:tcMar>
          </w:tcPr>
          <w:p>
            <w:pPr>
              <w:keepNext/>
              <w:spacing w:after="0"/>
              <w:jc w:val="center"/>
            </w:pPr>
            <w:r>
              <w:rPr>
                <w:b/>
                <w:color w:val="FFFFFF"/>
                <w:sz w:val="19"/>
              </w:rPr>
              <w:t>Accuracy</w:t>
            </w:r>
          </w:p>
        </w:tc>
        <w:tc>
          <w:tcPr>
            <w:tcW w:type="dxa" w:w="1247"/>
            <w:vAlign w:val="center"/>
            <w:shd w:fill="274C77"/>
            <w:tcMar>
              <w:top w:w="100" w:type="dxa"/>
              <w:start w:w="120" w:type="dxa"/>
              <w:bottom w:w="100" w:type="dxa"/>
              <w:end w:w="120" w:type="dxa"/>
            </w:tcMar>
          </w:tcPr>
          <w:p>
            <w:pPr>
              <w:keepNext/>
              <w:spacing w:after="0"/>
              <w:jc w:val="center"/>
            </w:pPr>
            <w:r>
              <w:rPr>
                <w:b/>
                <w:color w:val="FFFFFF"/>
                <w:sz w:val="19"/>
              </w:rPr>
              <w:t>Precisión</w:t>
            </w:r>
          </w:p>
        </w:tc>
        <w:tc>
          <w:tcPr>
            <w:tcW w:type="dxa" w:w="1134"/>
            <w:vAlign w:val="center"/>
            <w:shd w:fill="274C77"/>
            <w:tcMar>
              <w:top w:w="100" w:type="dxa"/>
              <w:start w:w="120" w:type="dxa"/>
              <w:bottom w:w="100" w:type="dxa"/>
              <w:end w:w="120" w:type="dxa"/>
            </w:tcMar>
          </w:tcPr>
          <w:p>
            <w:pPr>
              <w:keepNext/>
              <w:spacing w:after="0"/>
              <w:jc w:val="center"/>
            </w:pPr>
            <w:r>
              <w:rPr>
                <w:b/>
                <w:color w:val="FFFFFF"/>
                <w:sz w:val="19"/>
              </w:rPr>
              <w:t>Recall</w:t>
            </w:r>
          </w:p>
        </w:tc>
        <w:tc>
          <w:tcPr>
            <w:tcW w:type="dxa" w:w="1020"/>
            <w:vAlign w:val="center"/>
            <w:shd w:fill="274C77"/>
            <w:tcMar>
              <w:top w:w="100" w:type="dxa"/>
              <w:start w:w="120" w:type="dxa"/>
              <w:bottom w:w="100" w:type="dxa"/>
              <w:end w:w="120" w:type="dxa"/>
            </w:tcMar>
          </w:tcPr>
          <w:p>
            <w:pPr>
              <w:keepNext/>
              <w:spacing w:after="0"/>
              <w:jc w:val="center"/>
            </w:pPr>
            <w:r>
              <w:rPr>
                <w:b/>
                <w:color w:val="FFFFFF"/>
                <w:sz w:val="19"/>
              </w:rPr>
              <w:t>F1</w:t>
            </w:r>
          </w:p>
        </w:tc>
        <w:tc>
          <w:tcPr>
            <w:tcW w:type="dxa" w:w="1247"/>
            <w:vAlign w:val="center"/>
            <w:shd w:fill="274C77"/>
            <w:tcMar>
              <w:top w:w="100" w:type="dxa"/>
              <w:start w:w="120" w:type="dxa"/>
              <w:bottom w:w="100" w:type="dxa"/>
              <w:end w:w="120" w:type="dxa"/>
            </w:tcMar>
          </w:tcPr>
          <w:p>
            <w:pPr>
              <w:keepNext/>
              <w:spacing w:after="0"/>
              <w:jc w:val="center"/>
            </w:pPr>
            <w:r>
              <w:rPr>
                <w:b/>
                <w:color w:val="FFFFFF"/>
                <w:sz w:val="19"/>
              </w:rPr>
              <w:t>ROC AUC</w:t>
            </w:r>
          </w:p>
        </w:tc>
        <w:tc>
          <w:tcPr>
            <w:tcW w:type="dxa" w:w="850"/>
            <w:vAlign w:val="center"/>
            <w:shd w:fill="274C77"/>
            <w:tcMar>
              <w:top w:w="100" w:type="dxa"/>
              <w:start w:w="120" w:type="dxa"/>
              <w:bottom w:w="100" w:type="dxa"/>
              <w:end w:w="120" w:type="dxa"/>
            </w:tcMar>
          </w:tcPr>
          <w:p>
            <w:pPr>
              <w:keepNext/>
              <w:spacing w:after="0"/>
              <w:jc w:val="center"/>
            </w:pPr>
            <w:r>
              <w:rPr>
                <w:b/>
                <w:color w:val="FFFFFF"/>
                <w:sz w:val="19"/>
              </w:rPr>
              <w:t>FP</w:t>
            </w:r>
          </w:p>
        </w:tc>
        <w:tc>
          <w:tcPr>
            <w:tcW w:type="dxa" w:w="850"/>
            <w:vAlign w:val="center"/>
            <w:shd w:fill="274C77"/>
            <w:tcMar>
              <w:top w:w="100" w:type="dxa"/>
              <w:start w:w="120" w:type="dxa"/>
              <w:bottom w:w="100" w:type="dxa"/>
              <w:end w:w="120" w:type="dxa"/>
            </w:tcMar>
          </w:tcPr>
          <w:p>
            <w:pPr>
              <w:keepNext/>
              <w:spacing w:after="0"/>
              <w:jc w:val="center"/>
            </w:pPr>
            <w:r>
              <w:rPr>
                <w:b/>
                <w:color w:val="FFFFFF"/>
                <w:sz w:val="19"/>
              </w:rPr>
              <w:t>FN</w:t>
            </w:r>
          </w:p>
        </w:tc>
      </w:tr>
      <w:tr>
        <w:tc>
          <w:tcPr>
            <w:tcW w:type="dxa" w:w="1247"/>
            <w:vAlign w:val="center"/>
            <w:tcMar>
              <w:top w:w="100" w:type="dxa"/>
              <w:start w:w="120" w:type="dxa"/>
              <w:bottom w:w="100" w:type="dxa"/>
              <w:end w:w="120" w:type="dxa"/>
            </w:tcMar>
          </w:tcPr>
          <w:p>
            <w:pPr>
              <w:spacing w:after="0"/>
              <w:jc w:val="left"/>
            </w:pPr>
            <w:r>
              <w:rPr>
                <w:sz w:val="18"/>
              </w:rPr>
              <w:t>0,747</w:t>
            </w:r>
          </w:p>
        </w:tc>
        <w:tc>
          <w:tcPr>
            <w:tcW w:type="dxa" w:w="1247"/>
            <w:vAlign w:val="center"/>
            <w:tcMar>
              <w:top w:w="100" w:type="dxa"/>
              <w:start w:w="120" w:type="dxa"/>
              <w:bottom w:w="100" w:type="dxa"/>
              <w:end w:w="120" w:type="dxa"/>
            </w:tcMar>
          </w:tcPr>
          <w:p>
            <w:pPr>
              <w:spacing w:after="0"/>
              <w:jc w:val="center"/>
            </w:pPr>
            <w:r>
              <w:rPr>
                <w:sz w:val="18"/>
              </w:rPr>
              <w:t>0,516</w:t>
            </w:r>
          </w:p>
        </w:tc>
        <w:tc>
          <w:tcPr>
            <w:tcW w:type="dxa" w:w="1134"/>
            <w:vAlign w:val="center"/>
            <w:tcMar>
              <w:top w:w="100" w:type="dxa"/>
              <w:start w:w="120" w:type="dxa"/>
              <w:bottom w:w="100" w:type="dxa"/>
              <w:end w:w="120" w:type="dxa"/>
            </w:tcMar>
          </w:tcPr>
          <w:p>
            <w:pPr>
              <w:spacing w:after="0"/>
              <w:jc w:val="center"/>
            </w:pPr>
            <w:r>
              <w:rPr>
                <w:sz w:val="18"/>
              </w:rPr>
              <w:t>0,634</w:t>
            </w:r>
          </w:p>
        </w:tc>
        <w:tc>
          <w:tcPr>
            <w:tcW w:type="dxa" w:w="1020"/>
            <w:vAlign w:val="center"/>
            <w:tcMar>
              <w:top w:w="100" w:type="dxa"/>
              <w:start w:w="120" w:type="dxa"/>
              <w:bottom w:w="100" w:type="dxa"/>
              <w:end w:w="120" w:type="dxa"/>
            </w:tcMar>
          </w:tcPr>
          <w:p>
            <w:pPr>
              <w:spacing w:after="0"/>
              <w:jc w:val="center"/>
            </w:pPr>
            <w:r>
              <w:rPr>
                <w:sz w:val="18"/>
              </w:rPr>
              <w:t>0,569</w:t>
            </w:r>
          </w:p>
        </w:tc>
        <w:tc>
          <w:tcPr>
            <w:tcW w:type="dxa" w:w="1247"/>
            <w:vAlign w:val="center"/>
            <w:tcMar>
              <w:top w:w="100" w:type="dxa"/>
              <w:start w:w="120" w:type="dxa"/>
              <w:bottom w:w="100" w:type="dxa"/>
              <w:end w:w="120" w:type="dxa"/>
            </w:tcMar>
          </w:tcPr>
          <w:p>
            <w:pPr>
              <w:spacing w:after="0"/>
              <w:jc w:val="center"/>
            </w:pPr>
            <w:r>
              <w:rPr>
                <w:sz w:val="18"/>
              </w:rPr>
              <w:t>0,801</w:t>
            </w:r>
          </w:p>
        </w:tc>
        <w:tc>
          <w:tcPr>
            <w:tcW w:type="dxa" w:w="850"/>
            <w:vAlign w:val="center"/>
            <w:tcMar>
              <w:top w:w="100" w:type="dxa"/>
              <w:start w:w="120" w:type="dxa"/>
              <w:bottom w:w="100" w:type="dxa"/>
              <w:end w:w="120" w:type="dxa"/>
            </w:tcMar>
          </w:tcPr>
          <w:p>
            <w:pPr>
              <w:spacing w:after="0"/>
              <w:jc w:val="center"/>
            </w:pPr>
            <w:r>
              <w:rPr>
                <w:sz w:val="18"/>
              </w:rPr>
              <w:t>221</w:t>
            </w:r>
          </w:p>
        </w:tc>
        <w:tc>
          <w:tcPr>
            <w:tcW w:type="dxa" w:w="850"/>
            <w:vAlign w:val="center"/>
            <w:tcMar>
              <w:top w:w="100" w:type="dxa"/>
              <w:start w:w="120" w:type="dxa"/>
              <w:bottom w:w="100" w:type="dxa"/>
              <w:end w:w="120" w:type="dxa"/>
            </w:tcMar>
          </w:tcPr>
          <w:p>
            <w:pPr>
              <w:spacing w:after="0"/>
              <w:jc w:val="center"/>
            </w:pPr>
            <w:r>
              <w:rPr>
                <w:sz w:val="18"/>
              </w:rPr>
              <w:t>136</w:t>
            </w:r>
          </w:p>
        </w:tc>
      </w:tr>
    </w:tbl>
    <w:p>
      <w:pPr>
        <w:spacing w:after="0"/>
      </w:pPr>
    </w:p>
    <w:p>
      <w:r>
        <w:t>El recall de 0,634 significa que el modelo detectó aproximadamente el 63,4 % de los clientes que efectivamente abandonaron. La corrida final se registra con el nombre customer-churn-candidate.</w:t>
      </w:r>
    </w:p>
    <w:p>
      <w:pPr>
        <w:pStyle w:val="Heading1"/>
      </w:pPr>
      <w:r>
        <w:t>Reproducibilidad y trazabilidad</w:t>
      </w:r>
    </w:p>
    <w:p>
      <w:pPr>
        <w:keepNext/>
      </w:pPr>
      <w:r>
        <w:t>El proyecto combina varias herramientas para que otra persona pueda recuperar los datos, ejecutar el entrenamiento y revisar cómo se obtuvo el modelo.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268"/>
            <w:vAlign w:val="center"/>
            <w:shd w:fill="274C77"/>
            <w:tcMar>
              <w:top w:w="100" w:type="dxa"/>
              <w:start w:w="120" w:type="dxa"/>
              <w:bottom w:w="100" w:type="dxa"/>
              <w:end w:w="120" w:type="dxa"/>
            </w:tcMar>
          </w:tcPr>
          <w:p>
            <w:pPr>
              <w:keepNext/>
              <w:spacing w:after="0"/>
              <w:jc w:val="center"/>
            </w:pPr>
            <w:r>
              <w:rPr>
                <w:b/>
                <w:color w:val="FFFFFF"/>
                <w:sz w:val="19"/>
              </w:rPr>
              <w:t>Herramienta</w:t>
            </w:r>
          </w:p>
        </w:tc>
        <w:tc>
          <w:tcPr>
            <w:tcW w:type="dxa" w:w="6520"/>
            <w:vAlign w:val="center"/>
            <w:shd w:fill="274C77"/>
            <w:tcMar>
              <w:top w:w="100" w:type="dxa"/>
              <w:start w:w="120" w:type="dxa"/>
              <w:bottom w:w="100" w:type="dxa"/>
              <w:end w:w="120" w:type="dxa"/>
            </w:tcMar>
          </w:tcPr>
          <w:p>
            <w:pPr>
              <w:keepNext/>
              <w:spacing w:after="0"/>
              <w:jc w:val="center"/>
            </w:pPr>
            <w:r>
              <w:rPr>
                <w:b/>
                <w:color w:val="FFFFFF"/>
                <w:sz w:val="19"/>
              </w:rPr>
              <w:t>Función en el proyecto</w:t>
            </w:r>
          </w:p>
        </w:tc>
      </w:tr>
      <w:tr>
        <w:tc>
          <w:tcPr>
            <w:tcW w:type="dxa" w:w="2268"/>
            <w:vAlign w:val="center"/>
            <w:tcMar>
              <w:top w:w="100" w:type="dxa"/>
              <w:start w:w="120" w:type="dxa"/>
              <w:bottom w:w="100" w:type="dxa"/>
              <w:end w:w="120" w:type="dxa"/>
            </w:tcMar>
          </w:tcPr>
          <w:p>
            <w:pPr>
              <w:spacing w:after="0"/>
              <w:jc w:val="left"/>
            </w:pPr>
            <w:r>
              <w:rPr>
                <w:sz w:val="18"/>
              </w:rPr>
              <w:t>Git</w:t>
            </w:r>
          </w:p>
        </w:tc>
        <w:tc>
          <w:tcPr>
            <w:tcW w:type="dxa" w:w="6520"/>
            <w:vAlign w:val="center"/>
            <w:tcMar>
              <w:top w:w="100" w:type="dxa"/>
              <w:start w:w="120" w:type="dxa"/>
              <w:bottom w:w="100" w:type="dxa"/>
              <w:end w:w="120" w:type="dxa"/>
            </w:tcMar>
          </w:tcPr>
          <w:p>
            <w:pPr>
              <w:spacing w:after="0"/>
              <w:jc w:val="center"/>
            </w:pPr>
            <w:r>
              <w:rPr>
                <w:sz w:val="18"/>
              </w:rPr>
              <w:t>Versiona el código y la documentación</w:t>
            </w:r>
          </w:p>
        </w:tc>
      </w:tr>
      <w:tr>
        <w:tc>
          <w:tcPr>
            <w:tcW w:type="dxa" w:w="2268"/>
            <w:vAlign w:val="center"/>
            <w:tcMar>
              <w:top w:w="100" w:type="dxa"/>
              <w:start w:w="120" w:type="dxa"/>
              <w:bottom w:w="100" w:type="dxa"/>
              <w:end w:w="120" w:type="dxa"/>
            </w:tcMar>
            <w:shd w:fill="EEF4F8"/>
          </w:tcPr>
          <w:p>
            <w:pPr>
              <w:spacing w:after="0"/>
              <w:jc w:val="left"/>
            </w:pPr>
            <w:r>
              <w:rPr>
                <w:sz w:val="18"/>
              </w:rPr>
              <w:t>GitHub</w:t>
            </w:r>
          </w:p>
        </w:tc>
        <w:tc>
          <w:tcPr>
            <w:tcW w:type="dxa" w:w="6520"/>
            <w:vAlign w:val="center"/>
            <w:tcMar>
              <w:top w:w="100" w:type="dxa"/>
              <w:start w:w="120" w:type="dxa"/>
              <w:bottom w:w="100" w:type="dxa"/>
              <w:end w:w="120" w:type="dxa"/>
            </w:tcMar>
            <w:shd w:fill="EEF4F8"/>
          </w:tcPr>
          <w:p>
            <w:pPr>
              <w:spacing w:after="0"/>
              <w:jc w:val="center"/>
            </w:pPr>
            <w:r>
              <w:rPr>
                <w:sz w:val="18"/>
              </w:rPr>
              <w:t>Aloja el repositorio Git</w:t>
            </w:r>
          </w:p>
        </w:tc>
      </w:tr>
      <w:tr>
        <w:tc>
          <w:tcPr>
            <w:tcW w:type="dxa" w:w="2268"/>
            <w:vAlign w:val="center"/>
            <w:tcMar>
              <w:top w:w="100" w:type="dxa"/>
              <w:start w:w="120" w:type="dxa"/>
              <w:bottom w:w="100" w:type="dxa"/>
              <w:end w:w="120" w:type="dxa"/>
            </w:tcMar>
          </w:tcPr>
          <w:p>
            <w:pPr>
              <w:spacing w:after="0"/>
              <w:jc w:val="left"/>
            </w:pPr>
            <w:r>
              <w:rPr>
                <w:sz w:val="18"/>
              </w:rPr>
              <w:t>DVC</w:t>
            </w:r>
          </w:p>
        </w:tc>
        <w:tc>
          <w:tcPr>
            <w:tcW w:type="dxa" w:w="6520"/>
            <w:vAlign w:val="center"/>
            <w:tcMar>
              <w:top w:w="100" w:type="dxa"/>
              <w:start w:w="120" w:type="dxa"/>
              <w:bottom w:w="100" w:type="dxa"/>
              <w:end w:w="120" w:type="dxa"/>
            </w:tcMar>
          </w:tcPr>
          <w:p>
            <w:pPr>
              <w:spacing w:after="0"/>
              <w:jc w:val="center"/>
            </w:pPr>
            <w:r>
              <w:rPr>
                <w:sz w:val="18"/>
              </w:rPr>
              <w:t>Versiona el CSV mediante una huella digital</w:t>
            </w:r>
          </w:p>
        </w:tc>
      </w:tr>
      <w:tr>
        <w:tc>
          <w:tcPr>
            <w:tcW w:type="dxa" w:w="2268"/>
            <w:vAlign w:val="center"/>
            <w:tcMar>
              <w:top w:w="100" w:type="dxa"/>
              <w:start w:w="120" w:type="dxa"/>
              <w:bottom w:w="100" w:type="dxa"/>
              <w:end w:w="120" w:type="dxa"/>
            </w:tcMar>
            <w:shd w:fill="EEF4F8"/>
          </w:tcPr>
          <w:p>
            <w:pPr>
              <w:spacing w:after="0"/>
              <w:jc w:val="left"/>
            </w:pPr>
            <w:r>
              <w:rPr>
                <w:sz w:val="18"/>
              </w:rPr>
              <w:t>DagsHub</w:t>
            </w:r>
          </w:p>
        </w:tc>
        <w:tc>
          <w:tcPr>
            <w:tcW w:type="dxa" w:w="6520"/>
            <w:vAlign w:val="center"/>
            <w:tcMar>
              <w:top w:w="100" w:type="dxa"/>
              <w:start w:w="120" w:type="dxa"/>
              <w:bottom w:w="100" w:type="dxa"/>
              <w:end w:w="120" w:type="dxa"/>
            </w:tcMar>
            <w:shd w:fill="EEF4F8"/>
          </w:tcPr>
          <w:p>
            <w:pPr>
              <w:spacing w:after="0"/>
              <w:jc w:val="center"/>
            </w:pPr>
            <w:r>
              <w:rPr>
                <w:sz w:val="18"/>
              </w:rPr>
              <w:t>Almacena los datos DVC y ofrece servicios para MLflow</w:t>
            </w:r>
          </w:p>
        </w:tc>
      </w:tr>
      <w:tr>
        <w:tc>
          <w:tcPr>
            <w:tcW w:type="dxa" w:w="2268"/>
            <w:vAlign w:val="center"/>
            <w:tcMar>
              <w:top w:w="100" w:type="dxa"/>
              <w:start w:w="120" w:type="dxa"/>
              <w:bottom w:w="100" w:type="dxa"/>
              <w:end w:w="120" w:type="dxa"/>
            </w:tcMar>
          </w:tcPr>
          <w:p>
            <w:pPr>
              <w:spacing w:after="0"/>
              <w:jc w:val="left"/>
            </w:pPr>
            <w:r>
              <w:rPr>
                <w:sz w:val="18"/>
              </w:rPr>
              <w:t>MLflow</w:t>
            </w:r>
          </w:p>
        </w:tc>
        <w:tc>
          <w:tcPr>
            <w:tcW w:type="dxa" w:w="6520"/>
            <w:vAlign w:val="center"/>
            <w:tcMar>
              <w:top w:w="100" w:type="dxa"/>
              <w:start w:w="120" w:type="dxa"/>
              <w:bottom w:w="100" w:type="dxa"/>
              <w:end w:w="120" w:type="dxa"/>
            </w:tcMar>
          </w:tcPr>
          <w:p>
            <w:pPr>
              <w:spacing w:after="0"/>
              <w:jc w:val="center"/>
            </w:pPr>
            <w:r>
              <w:rPr>
                <w:sz w:val="18"/>
              </w:rPr>
              <w:t>Registra parámetros, métricas, artefactos, corridas y modelos</w:t>
            </w:r>
          </w:p>
        </w:tc>
      </w:tr>
      <w:tr>
        <w:tc>
          <w:tcPr>
            <w:tcW w:type="dxa" w:w="2268"/>
            <w:vAlign w:val="center"/>
            <w:tcMar>
              <w:top w:w="100" w:type="dxa"/>
              <w:start w:w="120" w:type="dxa"/>
              <w:bottom w:w="100" w:type="dxa"/>
              <w:end w:w="120" w:type="dxa"/>
            </w:tcMar>
            <w:shd w:fill="EEF4F8"/>
          </w:tcPr>
          <w:p>
            <w:pPr>
              <w:spacing w:after="0"/>
              <w:jc w:val="left"/>
            </w:pPr>
            <w:r>
              <w:rPr>
                <w:sz w:val="18"/>
              </w:rPr>
              <w:t>Joblib</w:t>
            </w:r>
          </w:p>
        </w:tc>
        <w:tc>
          <w:tcPr>
            <w:tcW w:type="dxa" w:w="6520"/>
            <w:vAlign w:val="center"/>
            <w:tcMar>
              <w:top w:w="100" w:type="dxa"/>
              <w:start w:w="120" w:type="dxa"/>
              <w:bottom w:w="100" w:type="dxa"/>
              <w:end w:w="120" w:type="dxa"/>
            </w:tcMar>
            <w:shd w:fill="EEF4F8"/>
          </w:tcPr>
          <w:p>
            <w:pPr>
              <w:spacing w:after="0"/>
              <w:jc w:val="center"/>
            </w:pPr>
            <w:r>
              <w:rPr>
                <w:sz w:val="18"/>
              </w:rPr>
              <w:t>Guarda el pipeline entrenado en un archivo reutilizable</w:t>
            </w:r>
          </w:p>
        </w:tc>
      </w:tr>
      <w:tr>
        <w:tc>
          <w:tcPr>
            <w:tcW w:type="dxa" w:w="2268"/>
            <w:vAlign w:val="center"/>
            <w:tcMar>
              <w:top w:w="100" w:type="dxa"/>
              <w:start w:w="120" w:type="dxa"/>
              <w:bottom w:w="100" w:type="dxa"/>
              <w:end w:w="120" w:type="dxa"/>
            </w:tcMar>
          </w:tcPr>
          <w:p>
            <w:pPr>
              <w:spacing w:after="0"/>
              <w:jc w:val="left"/>
            </w:pPr>
            <w:r>
              <w:rPr>
                <w:sz w:val="18"/>
              </w:rPr>
              <w:t>Pytest</w:t>
            </w:r>
          </w:p>
        </w:tc>
        <w:tc>
          <w:tcPr>
            <w:tcW w:type="dxa" w:w="6520"/>
            <w:vAlign w:val="center"/>
            <w:tcMar>
              <w:top w:w="100" w:type="dxa"/>
              <w:start w:w="120" w:type="dxa"/>
              <w:bottom w:w="100" w:type="dxa"/>
              <w:end w:w="120" w:type="dxa"/>
            </w:tcMar>
          </w:tcPr>
          <w:p>
            <w:pPr>
              <w:spacing w:after="0"/>
              <w:jc w:val="center"/>
            </w:pPr>
            <w:r>
              <w:rPr>
                <w:sz w:val="18"/>
              </w:rPr>
              <w:t>Comprueba las métricas y el preprocesamiento</w:t>
            </w:r>
          </w:p>
        </w:tc>
      </w:tr>
    </w:tbl>
    <w:p>
      <w:pPr>
        <w:spacing w:after="0"/>
      </w:pPr>
    </w:p>
    <w:p>
      <w:pPr>
        <w:pStyle w:val="Heading2"/>
      </w:pPr>
      <w:r>
        <w:t>Control del dataset con DVC</w:t>
      </w:r>
    </w:p>
    <w:p>
      <w:r>
        <w:t>El CSV completo no se guarda directamente en GitHub. Git conserva customer_churn_historical.csv.dvc, un archivo pequeño que contiene el nombre, el tamaño y la huella digital del dataset. DVC utiliza esa referencia para recuperar exactamente la misma versión desde DagsHub.</w:t>
      </w:r>
    </w:p>
    <w:p>
      <w:r>
        <w:t>Se configuró el remoto https://dagshub.com/giselle.san/entregaPrimerParcial.dvc y se ejecutó dvc push. El mensaje Everything is up to date confirmó que DVC pudo conectarse y que el contenido ya estaba disponible en el almacenamiento remoto. Las credenciales permanecen en config.local y no se suben a Git.</w:t>
      </w:r>
    </w:p>
    <w:p>
      <w:r>
        <w:t>La recuperación se comprobó desde una segunda copia del repositorio mediante dvc pull, seguida por la ejecución del EDA y las pruebas. Cada integrante debe usar su propia cuenta o token autorizado de DagsHub; el token personal de la autora no se publica ni se comparte.</w:t>
      </w:r>
    </w:p>
    <w:p>
      <w:pPr>
        <w:pStyle w:val="Heading2"/>
      </w:pPr>
      <w:r>
        <w:t>Registro de experimentos con MLflow</w:t>
      </w:r>
    </w:p>
    <w:p>
      <w:r>
        <w:t>Cada configuración se ejecuta como una corrida de MLflow. Las seis corridas de comparación registran sus parámetros y resultados; una séptima corrida entrena y registra el candidato final.</w:t>
      </w:r>
    </w:p>
    <w:p>
      <w:pPr>
        <w:pStyle w:val="ListBullet"/>
        <w:spacing w:after="60"/>
      </w:pPr>
      <w:r>
        <w:t>Parámetros del modelo y umbral de clasificación.</w:t>
      </w:r>
    </w:p>
    <w:p>
      <w:pPr>
        <w:pStyle w:val="ListBullet"/>
        <w:spacing w:after="60"/>
      </w:pPr>
      <w:r>
        <w:t>Métricas de validacion o test.</w:t>
      </w:r>
    </w:p>
    <w:p>
      <w:pPr>
        <w:pStyle w:val="ListBullet"/>
        <w:spacing w:after="60"/>
      </w:pPr>
      <w:r>
        <w:t>Hash SHA 256 del dataset y commit de Git.</w:t>
      </w:r>
    </w:p>
    <w:p>
      <w:pPr>
        <w:pStyle w:val="ListBullet"/>
        <w:spacing w:after="60"/>
      </w:pPr>
      <w:r>
        <w:t>Pipeline entrenado y artefactos del modelo.</w:t>
      </w:r>
    </w:p>
    <w:p>
      <w:pPr>
        <w:pStyle w:val="ListBullet"/>
        <w:spacing w:after="60"/>
      </w:pPr>
      <w:r>
        <w:t>Run ID que identifica de manera única cada corrida.</w:t>
      </w:r>
    </w:p>
    <w:p>
      <w:r>
        <w:t>Se corrigió una advertencia de MLflow relacionada con la inferencia de columnas enteras. El código ahora prepara un ejemplo compatible con valores faltantes y define explícitamente el esquema de entrada antes de registrar el modelo.</w:t>
      </w:r>
    </w:p>
    <w:p>
      <w:pPr>
        <w:pStyle w:val="Heading2"/>
        <w:keepNext/>
      </w:pPr>
      <w:r>
        <w:t>Evidencias registradas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835"/>
            <w:vAlign w:val="center"/>
            <w:shd w:fill="274C77"/>
            <w:tcMar>
              <w:top w:w="100" w:type="dxa"/>
              <w:start w:w="120" w:type="dxa"/>
              <w:bottom w:w="100" w:type="dxa"/>
              <w:end w:w="120" w:type="dxa"/>
            </w:tcMar>
          </w:tcPr>
          <w:p>
            <w:pPr>
              <w:keepNext/>
              <w:spacing w:after="0"/>
              <w:jc w:val="center"/>
            </w:pPr>
            <w:r>
              <w:rPr>
                <w:b/>
                <w:color w:val="FFFFFF"/>
                <w:sz w:val="19"/>
              </w:rPr>
              <w:t>Evidencia</w:t>
            </w:r>
          </w:p>
        </w:tc>
        <w:tc>
          <w:tcPr>
            <w:tcW w:type="dxa" w:w="5953"/>
            <w:vAlign w:val="center"/>
            <w:shd w:fill="274C77"/>
            <w:tcMar>
              <w:top w:w="100" w:type="dxa"/>
              <w:start w:w="120" w:type="dxa"/>
              <w:bottom w:w="100" w:type="dxa"/>
              <w:end w:w="120" w:type="dxa"/>
            </w:tcMar>
          </w:tcPr>
          <w:p>
            <w:pPr>
              <w:keepNext/>
              <w:spacing w:after="0"/>
              <w:jc w:val="center"/>
            </w:pPr>
            <w:r>
              <w:rPr>
                <w:b/>
                <w:color w:val="FFFFFF"/>
                <w:sz w:val="19"/>
              </w:rPr>
              <w:t>Valor</w:t>
            </w:r>
          </w:p>
        </w:tc>
      </w:tr>
      <w:tr>
        <w:tc>
          <w:tcPr>
            <w:tcW w:type="dxa" w:w="2835"/>
            <w:vAlign w:val="center"/>
            <w:tcMar>
              <w:top w:w="100" w:type="dxa"/>
              <w:start w:w="120" w:type="dxa"/>
              <w:bottom w:w="100" w:type="dxa"/>
              <w:end w:w="120" w:type="dxa"/>
            </w:tcMar>
          </w:tcPr>
          <w:p>
            <w:pPr>
              <w:spacing w:after="0"/>
              <w:jc w:val="left"/>
            </w:pPr>
            <w:r>
              <w:rPr>
                <w:sz w:val="18"/>
              </w:rPr>
              <w:t>Repositorio GitHub</w:t>
            </w:r>
          </w:p>
        </w:tc>
        <w:tc>
          <w:tcPr>
            <w:tcW w:type="dxa" w:w="5953"/>
            <w:vAlign w:val="center"/>
            <w:tcMar>
              <w:top w:w="100" w:type="dxa"/>
              <w:start w:w="120" w:type="dxa"/>
              <w:bottom w:w="100" w:type="dxa"/>
              <w:end w:w="120" w:type="dxa"/>
            </w:tcMar>
          </w:tcPr>
          <w:p>
            <w:pPr>
              <w:spacing w:after="0"/>
              <w:jc w:val="center"/>
            </w:pPr>
            <w:r>
              <w:rPr>
                <w:sz w:val="18"/>
              </w:rPr>
              <w:t>https://github.com/giselle1990/entregaPrimerParcial</w:t>
            </w:r>
          </w:p>
        </w:tc>
      </w:tr>
      <w:tr>
        <w:tc>
          <w:tcPr>
            <w:tcW w:type="dxa" w:w="2835"/>
            <w:vAlign w:val="center"/>
            <w:tcMar>
              <w:top w:w="100" w:type="dxa"/>
              <w:start w:w="120" w:type="dxa"/>
              <w:bottom w:w="100" w:type="dxa"/>
              <w:end w:w="120" w:type="dxa"/>
            </w:tcMar>
            <w:shd w:fill="EEF4F8"/>
          </w:tcPr>
          <w:p>
            <w:pPr>
              <w:spacing w:after="0"/>
              <w:jc w:val="left"/>
            </w:pPr>
            <w:r>
              <w:rPr>
                <w:sz w:val="18"/>
              </w:rPr>
              <w:t>Proyecto DagsHub</w:t>
            </w:r>
          </w:p>
        </w:tc>
        <w:tc>
          <w:tcPr>
            <w:tcW w:type="dxa" w:w="5953"/>
            <w:vAlign w:val="center"/>
            <w:tcMar>
              <w:top w:w="100" w:type="dxa"/>
              <w:start w:w="120" w:type="dxa"/>
              <w:bottom w:w="100" w:type="dxa"/>
              <w:end w:w="120" w:type="dxa"/>
            </w:tcMar>
            <w:shd w:fill="EEF4F8"/>
          </w:tcPr>
          <w:p>
            <w:pPr>
              <w:spacing w:after="0"/>
              <w:jc w:val="center"/>
            </w:pPr>
            <w:r>
              <w:rPr>
                <w:sz w:val="18"/>
              </w:rPr>
              <w:t>https://dagshub.com/giselle.san/entregaPrimerParcial</w:t>
            </w:r>
          </w:p>
        </w:tc>
      </w:tr>
      <w:tr>
        <w:tc>
          <w:tcPr>
            <w:tcW w:type="dxa" w:w="2835"/>
            <w:vAlign w:val="center"/>
            <w:tcMar>
              <w:top w:w="100" w:type="dxa"/>
              <w:start w:w="120" w:type="dxa"/>
              <w:bottom w:w="100" w:type="dxa"/>
              <w:end w:w="120" w:type="dxa"/>
            </w:tcMar>
          </w:tcPr>
          <w:p>
            <w:pPr>
              <w:spacing w:after="0"/>
              <w:jc w:val="left"/>
            </w:pPr>
            <w:r>
              <w:rPr>
                <w:sz w:val="18"/>
              </w:rPr>
              <w:t>Tracking de MLflow</w:t>
            </w:r>
          </w:p>
        </w:tc>
        <w:tc>
          <w:tcPr>
            <w:tcW w:type="dxa" w:w="5953"/>
            <w:vAlign w:val="center"/>
            <w:tcMar>
              <w:top w:w="100" w:type="dxa"/>
              <w:start w:w="120" w:type="dxa"/>
              <w:bottom w:w="100" w:type="dxa"/>
              <w:end w:w="120" w:type="dxa"/>
            </w:tcMar>
          </w:tcPr>
          <w:p>
            <w:pPr>
              <w:spacing w:after="0"/>
              <w:jc w:val="center"/>
            </w:pPr>
            <w:r>
              <w:rPr>
                <w:sz w:val="18"/>
              </w:rPr>
              <w:t>https://dagshub.com/giselle.san/entregaPrimerParcial.mlflow</w:t>
            </w:r>
          </w:p>
        </w:tc>
      </w:tr>
      <w:tr>
        <w:tc>
          <w:tcPr>
            <w:tcW w:type="dxa" w:w="2835"/>
            <w:vAlign w:val="center"/>
            <w:tcMar>
              <w:top w:w="100" w:type="dxa"/>
              <w:start w:w="120" w:type="dxa"/>
              <w:bottom w:w="100" w:type="dxa"/>
              <w:end w:w="120" w:type="dxa"/>
            </w:tcMar>
            <w:shd w:fill="EEF4F8"/>
          </w:tcPr>
          <w:p>
            <w:pPr>
              <w:spacing w:after="0"/>
              <w:jc w:val="left"/>
            </w:pPr>
            <w:r>
              <w:rPr>
                <w:sz w:val="18"/>
              </w:rPr>
              <w:t>Modelo registrado</w:t>
            </w:r>
          </w:p>
        </w:tc>
        <w:tc>
          <w:tcPr>
            <w:tcW w:type="dxa" w:w="5953"/>
            <w:vAlign w:val="center"/>
            <w:tcMar>
              <w:top w:w="100" w:type="dxa"/>
              <w:start w:w="120" w:type="dxa"/>
              <w:bottom w:w="100" w:type="dxa"/>
              <w:end w:w="120" w:type="dxa"/>
            </w:tcMar>
            <w:shd w:fill="EEF4F8"/>
          </w:tcPr>
          <w:p>
            <w:pPr>
              <w:spacing w:after="0"/>
              <w:jc w:val="center"/>
            </w:pPr>
            <w:r>
              <w:rPr>
                <w:sz w:val="18"/>
              </w:rPr>
              <w:t>customer-churn-candidate, versión 3</w:t>
            </w:r>
          </w:p>
        </w:tc>
      </w:tr>
      <w:tr>
        <w:tc>
          <w:tcPr>
            <w:tcW w:type="dxa" w:w="2835"/>
            <w:vAlign w:val="center"/>
            <w:tcMar>
              <w:top w:w="100" w:type="dxa"/>
              <w:start w:w="120" w:type="dxa"/>
              <w:bottom w:w="100" w:type="dxa"/>
              <w:end w:w="120" w:type="dxa"/>
            </w:tcMar>
          </w:tcPr>
          <w:p>
            <w:pPr>
              <w:spacing w:after="0"/>
              <w:jc w:val="left"/>
            </w:pPr>
            <w:r>
              <w:rPr>
                <w:sz w:val="18"/>
              </w:rPr>
              <w:t>Run final</w:t>
            </w:r>
          </w:p>
        </w:tc>
        <w:tc>
          <w:tcPr>
            <w:tcW w:type="dxa" w:w="5953"/>
            <w:vAlign w:val="center"/>
            <w:tcMar>
              <w:top w:w="100" w:type="dxa"/>
              <w:start w:w="120" w:type="dxa"/>
              <w:bottom w:w="100" w:type="dxa"/>
              <w:end w:w="120" w:type="dxa"/>
            </w:tcMar>
          </w:tcPr>
          <w:p>
            <w:pPr>
              <w:spacing w:after="0"/>
              <w:jc w:val="center"/>
            </w:pPr>
            <w:r>
              <w:rPr>
                <w:sz w:val="18"/>
              </w:rPr>
              <w:t>a9013766e57641cc9fa53de5d72b92cd</w:t>
            </w:r>
          </w:p>
        </w:tc>
      </w:tr>
      <w:tr>
        <w:tc>
          <w:tcPr>
            <w:tcW w:type="dxa" w:w="2835"/>
            <w:vAlign w:val="center"/>
            <w:tcMar>
              <w:top w:w="100" w:type="dxa"/>
              <w:start w:w="120" w:type="dxa"/>
              <w:bottom w:w="100" w:type="dxa"/>
              <w:end w:w="120" w:type="dxa"/>
            </w:tcMar>
            <w:shd w:fill="EEF4F8"/>
          </w:tcPr>
          <w:p>
            <w:pPr>
              <w:spacing w:after="0"/>
              <w:jc w:val="left"/>
            </w:pPr>
            <w:r>
              <w:rPr>
                <w:sz w:val="18"/>
              </w:rPr>
              <w:t>Tag de entrega</w:t>
            </w:r>
          </w:p>
        </w:tc>
        <w:tc>
          <w:tcPr>
            <w:tcW w:type="dxa" w:w="5953"/>
            <w:vAlign w:val="center"/>
            <w:tcMar>
              <w:top w:w="100" w:type="dxa"/>
              <w:start w:w="120" w:type="dxa"/>
              <w:bottom w:w="100" w:type="dxa"/>
              <w:end w:w="120" w:type="dxa"/>
            </w:tcMar>
            <w:shd w:fill="EEF4F8"/>
          </w:tcPr>
          <w:p>
            <w:pPr>
              <w:spacing w:after="0"/>
              <w:jc w:val="center"/>
            </w:pPr>
            <w:r>
              <w:rPr>
                <w:sz w:val="18"/>
              </w:rPr>
              <w:t>entrega-1</w:t>
            </w:r>
          </w:p>
        </w:tc>
      </w:tr>
    </w:tbl>
    <w:p>
      <w:pPr>
        <w:spacing w:after="0"/>
      </w:pPr>
    </w:p>
    <w:p>
      <w:r>
        <w:t>La corrida final puede revisarse en https://dagshub.com/giselle.san/entregaPrimerParcial.mlflow/#/experiments/0/runs/a9013766e57641cc9fa53de5d72b92cd. El Run ID relaciona el modelo registrado con los parámetros, las métricas, el dataset y el commit de origen.</w:t>
      </w:r>
    </w:p>
    <w:p>
      <w:r>
        <w:t>Además de las siete corridas utilizadas para la comparación y el modelo final, quedó una ejecución inicial de prueba afectada por la codificación de la consola de Windows. Esa corrida adicional no intervino en la selección del candidato.</w:t>
      </w:r>
    </w:p>
    <w:p>
      <w:pPr>
        <w:pStyle w:val="Heading1"/>
        <w:keepNext/>
      </w:pPr>
      <w:r>
        <w:t>Estructura del repositorio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835"/>
            <w:vAlign w:val="center"/>
            <w:shd w:fill="274C77"/>
            <w:tcMar>
              <w:top w:w="100" w:type="dxa"/>
              <w:start w:w="120" w:type="dxa"/>
              <w:bottom w:w="100" w:type="dxa"/>
              <w:end w:w="120" w:type="dxa"/>
            </w:tcMar>
          </w:tcPr>
          <w:p>
            <w:pPr>
              <w:keepNext/>
              <w:spacing w:after="0"/>
              <w:jc w:val="center"/>
            </w:pPr>
            <w:r>
              <w:rPr>
                <w:b/>
                <w:color w:val="FFFFFF"/>
                <w:sz w:val="19"/>
              </w:rPr>
              <w:t>Carpeta</w:t>
            </w:r>
          </w:p>
        </w:tc>
        <w:tc>
          <w:tcPr>
            <w:tcW w:type="dxa" w:w="5953"/>
            <w:vAlign w:val="center"/>
            <w:shd w:fill="274C77"/>
            <w:tcMar>
              <w:top w:w="100" w:type="dxa"/>
              <w:start w:w="120" w:type="dxa"/>
              <w:bottom w:w="100" w:type="dxa"/>
              <w:end w:w="120" w:type="dxa"/>
            </w:tcMar>
          </w:tcPr>
          <w:p>
            <w:pPr>
              <w:keepNext/>
              <w:spacing w:after="0"/>
              <w:jc w:val="center"/>
            </w:pPr>
            <w:r>
              <w:rPr>
                <w:b/>
                <w:color w:val="FFFFFF"/>
                <w:sz w:val="19"/>
              </w:rPr>
              <w:t>Contenido</w:t>
            </w:r>
          </w:p>
        </w:tc>
      </w:tr>
      <w:tr>
        <w:tc>
          <w:tcPr>
            <w:tcW w:type="dxa" w:w="2835"/>
            <w:vAlign w:val="center"/>
            <w:tcMar>
              <w:top w:w="100" w:type="dxa"/>
              <w:start w:w="120" w:type="dxa"/>
              <w:bottom w:w="100" w:type="dxa"/>
              <w:end w:w="120" w:type="dxa"/>
            </w:tcMar>
          </w:tcPr>
          <w:p>
            <w:pPr>
              <w:spacing w:after="0"/>
              <w:jc w:val="left"/>
            </w:pPr>
            <w:r>
              <w:rPr>
                <w:sz w:val="18"/>
              </w:rPr>
              <w:t>data/raw/</w:t>
            </w:r>
          </w:p>
        </w:tc>
        <w:tc>
          <w:tcPr>
            <w:tcW w:type="dxa" w:w="5953"/>
            <w:vAlign w:val="center"/>
            <w:tcMar>
              <w:top w:w="100" w:type="dxa"/>
              <w:start w:w="120" w:type="dxa"/>
              <w:bottom w:w="100" w:type="dxa"/>
              <w:end w:w="120" w:type="dxa"/>
            </w:tcMar>
          </w:tcPr>
          <w:p>
            <w:pPr>
              <w:spacing w:after="0"/>
              <w:jc w:val="center"/>
            </w:pPr>
            <w:r>
              <w:rPr>
                <w:sz w:val="18"/>
              </w:rPr>
              <w:t>Datos originales controlados por DVC</w:t>
            </w:r>
          </w:p>
        </w:tc>
      </w:tr>
      <w:tr>
        <w:tc>
          <w:tcPr>
            <w:tcW w:type="dxa" w:w="2835"/>
            <w:vAlign w:val="center"/>
            <w:tcMar>
              <w:top w:w="100" w:type="dxa"/>
              <w:start w:w="120" w:type="dxa"/>
              <w:bottom w:w="100" w:type="dxa"/>
              <w:end w:w="120" w:type="dxa"/>
            </w:tcMar>
            <w:shd w:fill="EEF4F8"/>
          </w:tcPr>
          <w:p>
            <w:pPr>
              <w:spacing w:after="0"/>
              <w:jc w:val="left"/>
            </w:pPr>
            <w:r>
              <w:rPr>
                <w:sz w:val="18"/>
              </w:rPr>
              <w:t>data/processed/</w:t>
            </w:r>
          </w:p>
        </w:tc>
        <w:tc>
          <w:tcPr>
            <w:tcW w:type="dxa" w:w="5953"/>
            <w:vAlign w:val="center"/>
            <w:tcMar>
              <w:top w:w="100" w:type="dxa"/>
              <w:start w:w="120" w:type="dxa"/>
              <w:bottom w:w="100" w:type="dxa"/>
              <w:end w:w="120" w:type="dxa"/>
            </w:tcMar>
            <w:shd w:fill="EEF4F8"/>
          </w:tcPr>
          <w:p>
            <w:pPr>
              <w:spacing w:after="0"/>
              <w:jc w:val="center"/>
            </w:pPr>
            <w:r>
              <w:rPr>
                <w:sz w:val="18"/>
              </w:rPr>
              <w:t>Espacio reservado para datos procesados</w:t>
            </w:r>
          </w:p>
        </w:tc>
      </w:tr>
      <w:tr>
        <w:tc>
          <w:tcPr>
            <w:tcW w:type="dxa" w:w="2835"/>
            <w:vAlign w:val="center"/>
            <w:tcMar>
              <w:top w:w="100" w:type="dxa"/>
              <w:start w:w="120" w:type="dxa"/>
              <w:bottom w:w="100" w:type="dxa"/>
              <w:end w:w="120" w:type="dxa"/>
            </w:tcMar>
          </w:tcPr>
          <w:p>
            <w:pPr>
              <w:spacing w:after="0"/>
              <w:jc w:val="left"/>
            </w:pPr>
            <w:r>
              <w:rPr>
                <w:sz w:val="18"/>
              </w:rPr>
              <w:t>data/reference/</w:t>
            </w:r>
          </w:p>
        </w:tc>
        <w:tc>
          <w:tcPr>
            <w:tcW w:type="dxa" w:w="5953"/>
            <w:vAlign w:val="center"/>
            <w:tcMar>
              <w:top w:w="100" w:type="dxa"/>
              <w:start w:w="120" w:type="dxa"/>
              <w:bottom w:w="100" w:type="dxa"/>
              <w:end w:w="120" w:type="dxa"/>
            </w:tcMar>
          </w:tcPr>
          <w:p>
            <w:pPr>
              <w:spacing w:after="0"/>
              <w:jc w:val="center"/>
            </w:pPr>
            <w:r>
              <w:rPr>
                <w:sz w:val="18"/>
              </w:rPr>
              <w:t>Espacio reservado para datos de referencia</w:t>
            </w:r>
          </w:p>
        </w:tc>
      </w:tr>
      <w:tr>
        <w:tc>
          <w:tcPr>
            <w:tcW w:type="dxa" w:w="2835"/>
            <w:vAlign w:val="center"/>
            <w:tcMar>
              <w:top w:w="100" w:type="dxa"/>
              <w:start w:w="120" w:type="dxa"/>
              <w:bottom w:w="100" w:type="dxa"/>
              <w:end w:w="120" w:type="dxa"/>
            </w:tcMar>
            <w:shd w:fill="EEF4F8"/>
          </w:tcPr>
          <w:p>
            <w:pPr>
              <w:spacing w:after="0"/>
              <w:jc w:val="left"/>
            </w:pPr>
            <w:r>
              <w:rPr>
                <w:sz w:val="18"/>
              </w:rPr>
              <w:t>metadata/</w:t>
            </w:r>
          </w:p>
        </w:tc>
        <w:tc>
          <w:tcPr>
            <w:tcW w:type="dxa" w:w="5953"/>
            <w:vAlign w:val="center"/>
            <w:tcMar>
              <w:top w:w="100" w:type="dxa"/>
              <w:start w:w="120" w:type="dxa"/>
              <w:bottom w:w="100" w:type="dxa"/>
              <w:end w:w="120" w:type="dxa"/>
            </w:tcMar>
            <w:shd w:fill="EEF4F8"/>
          </w:tcPr>
          <w:p>
            <w:pPr>
              <w:spacing w:after="0"/>
              <w:jc w:val="center"/>
            </w:pPr>
            <w:r>
              <w:rPr>
                <w:sz w:val="18"/>
              </w:rPr>
              <w:t>Diccionario y esquema del dataset</w:t>
            </w:r>
          </w:p>
        </w:tc>
      </w:tr>
      <w:tr>
        <w:tc>
          <w:tcPr>
            <w:tcW w:type="dxa" w:w="2835"/>
            <w:vAlign w:val="center"/>
            <w:tcMar>
              <w:top w:w="100" w:type="dxa"/>
              <w:start w:w="120" w:type="dxa"/>
              <w:bottom w:w="100" w:type="dxa"/>
              <w:end w:w="120" w:type="dxa"/>
            </w:tcMar>
          </w:tcPr>
          <w:p>
            <w:pPr>
              <w:spacing w:after="0"/>
              <w:jc w:val="left"/>
            </w:pPr>
            <w:r>
              <w:rPr>
                <w:sz w:val="18"/>
              </w:rPr>
              <w:t>notebooks/</w:t>
            </w:r>
          </w:p>
        </w:tc>
        <w:tc>
          <w:tcPr>
            <w:tcW w:type="dxa" w:w="5953"/>
            <w:vAlign w:val="center"/>
            <w:tcMar>
              <w:top w:w="100" w:type="dxa"/>
              <w:start w:w="120" w:type="dxa"/>
              <w:bottom w:w="100" w:type="dxa"/>
              <w:end w:w="120" w:type="dxa"/>
            </w:tcMar>
          </w:tcPr>
          <w:p>
            <w:pPr>
              <w:spacing w:after="0"/>
              <w:jc w:val="center"/>
            </w:pPr>
            <w:r>
              <w:rPr>
                <w:sz w:val="18"/>
              </w:rPr>
              <w:t>Análisis exploratorio interactivo</w:t>
            </w:r>
          </w:p>
        </w:tc>
      </w:tr>
      <w:tr>
        <w:tc>
          <w:tcPr>
            <w:tcW w:type="dxa" w:w="2835"/>
            <w:vAlign w:val="center"/>
            <w:tcMar>
              <w:top w:w="100" w:type="dxa"/>
              <w:start w:w="120" w:type="dxa"/>
              <w:bottom w:w="100" w:type="dxa"/>
              <w:end w:w="120" w:type="dxa"/>
            </w:tcMar>
            <w:shd w:fill="EEF4F8"/>
          </w:tcPr>
          <w:p>
            <w:pPr>
              <w:spacing w:after="0"/>
              <w:jc w:val="left"/>
            </w:pPr>
            <w:r>
              <w:rPr>
                <w:sz w:val="18"/>
              </w:rPr>
              <w:t>app/</w:t>
            </w:r>
          </w:p>
        </w:tc>
        <w:tc>
          <w:tcPr>
            <w:tcW w:type="dxa" w:w="5953"/>
            <w:vAlign w:val="center"/>
            <w:tcMar>
              <w:top w:w="100" w:type="dxa"/>
              <w:start w:w="120" w:type="dxa"/>
              <w:bottom w:w="100" w:type="dxa"/>
              <w:end w:w="120" w:type="dxa"/>
            </w:tcMar>
            <w:shd w:fill="EEF4F8"/>
          </w:tcPr>
          <w:p>
            <w:pPr>
              <w:spacing w:after="0"/>
              <w:jc w:val="center"/>
            </w:pPr>
            <w:r>
              <w:rPr>
                <w:sz w:val="18"/>
              </w:rPr>
              <w:t>Espacio reservado para una API futura</w:t>
            </w:r>
          </w:p>
        </w:tc>
      </w:tr>
      <w:tr>
        <w:tc>
          <w:tcPr>
            <w:tcW w:type="dxa" w:w="2835"/>
            <w:vAlign w:val="center"/>
            <w:tcMar>
              <w:top w:w="100" w:type="dxa"/>
              <w:start w:w="120" w:type="dxa"/>
              <w:bottom w:w="100" w:type="dxa"/>
              <w:end w:w="120" w:type="dxa"/>
            </w:tcMar>
          </w:tcPr>
          <w:p>
            <w:pPr>
              <w:spacing w:after="0"/>
              <w:jc w:val="left"/>
            </w:pPr>
            <w:r>
              <w:rPr>
                <w:sz w:val="18"/>
              </w:rPr>
              <w:t>models/</w:t>
            </w:r>
          </w:p>
        </w:tc>
        <w:tc>
          <w:tcPr>
            <w:tcW w:type="dxa" w:w="5953"/>
            <w:vAlign w:val="center"/>
            <w:tcMar>
              <w:top w:w="100" w:type="dxa"/>
              <w:start w:w="120" w:type="dxa"/>
              <w:bottom w:w="100" w:type="dxa"/>
              <w:end w:w="120" w:type="dxa"/>
            </w:tcMar>
          </w:tcPr>
          <w:p>
            <w:pPr>
              <w:spacing w:after="0"/>
              <w:jc w:val="center"/>
            </w:pPr>
            <w:r>
              <w:rPr>
                <w:sz w:val="18"/>
              </w:rPr>
              <w:t>Ubicación del pipeline entrenado con joblib</w:t>
            </w:r>
          </w:p>
        </w:tc>
      </w:tr>
      <w:tr>
        <w:tc>
          <w:tcPr>
            <w:tcW w:type="dxa" w:w="2835"/>
            <w:vAlign w:val="center"/>
            <w:tcMar>
              <w:top w:w="100" w:type="dxa"/>
              <w:start w:w="120" w:type="dxa"/>
              <w:bottom w:w="100" w:type="dxa"/>
              <w:end w:w="120" w:type="dxa"/>
            </w:tcMar>
            <w:shd w:fill="EEF4F8"/>
          </w:tcPr>
          <w:p>
            <w:pPr>
              <w:spacing w:after="0"/>
              <w:jc w:val="left"/>
            </w:pPr>
            <w:r>
              <w:rPr>
                <w:sz w:val="18"/>
              </w:rPr>
              <w:t>tests/</w:t>
            </w:r>
          </w:p>
        </w:tc>
        <w:tc>
          <w:tcPr>
            <w:tcW w:type="dxa" w:w="5953"/>
            <w:vAlign w:val="center"/>
            <w:tcMar>
              <w:top w:w="100" w:type="dxa"/>
              <w:start w:w="120" w:type="dxa"/>
              <w:bottom w:w="100" w:type="dxa"/>
              <w:end w:w="120" w:type="dxa"/>
            </w:tcMar>
            <w:shd w:fill="EEF4F8"/>
          </w:tcPr>
          <w:p>
            <w:pPr>
              <w:spacing w:after="0"/>
              <w:jc w:val="center"/>
            </w:pPr>
            <w:r>
              <w:rPr>
                <w:sz w:val="18"/>
              </w:rPr>
              <w:t>Pruebas simples de métricas y preprocesamiento</w:t>
            </w:r>
          </w:p>
        </w:tc>
      </w:tr>
      <w:tr>
        <w:tc>
          <w:tcPr>
            <w:tcW w:type="dxa" w:w="2835"/>
            <w:vAlign w:val="center"/>
            <w:tcMar>
              <w:top w:w="100" w:type="dxa"/>
              <w:start w:w="120" w:type="dxa"/>
              <w:bottom w:w="100" w:type="dxa"/>
              <w:end w:w="120" w:type="dxa"/>
            </w:tcMar>
          </w:tcPr>
          <w:p>
            <w:pPr>
              <w:spacing w:after="0"/>
              <w:jc w:val="left"/>
            </w:pPr>
            <w:r>
              <w:rPr>
                <w:sz w:val="18"/>
              </w:rPr>
              <w:t>scripts/</w:t>
            </w:r>
          </w:p>
        </w:tc>
        <w:tc>
          <w:tcPr>
            <w:tcW w:type="dxa" w:w="5953"/>
            <w:vAlign w:val="center"/>
            <w:tcMar>
              <w:top w:w="100" w:type="dxa"/>
              <w:start w:w="120" w:type="dxa"/>
              <w:bottom w:w="100" w:type="dxa"/>
              <w:end w:w="120" w:type="dxa"/>
            </w:tcMar>
          </w:tcPr>
          <w:p>
            <w:pPr>
              <w:spacing w:after="0"/>
              <w:jc w:val="center"/>
            </w:pPr>
            <w:r>
              <w:rPr>
                <w:sz w:val="18"/>
              </w:rPr>
              <w:t>EDA y comandos auxiliares</w:t>
            </w:r>
          </w:p>
        </w:tc>
      </w:tr>
      <w:tr>
        <w:tc>
          <w:tcPr>
            <w:tcW w:type="dxa" w:w="2835"/>
            <w:vAlign w:val="center"/>
            <w:tcMar>
              <w:top w:w="100" w:type="dxa"/>
              <w:start w:w="120" w:type="dxa"/>
              <w:bottom w:w="100" w:type="dxa"/>
              <w:end w:w="120" w:type="dxa"/>
            </w:tcMar>
            <w:shd w:fill="EEF4F8"/>
          </w:tcPr>
          <w:p>
            <w:pPr>
              <w:spacing w:after="0"/>
              <w:jc w:val="left"/>
            </w:pPr>
            <w:r>
              <w:rPr>
                <w:sz w:val="18"/>
              </w:rPr>
              <w:t>src/data/</w:t>
            </w:r>
          </w:p>
        </w:tc>
        <w:tc>
          <w:tcPr>
            <w:tcW w:type="dxa" w:w="5953"/>
            <w:vAlign w:val="center"/>
            <w:tcMar>
              <w:top w:w="100" w:type="dxa"/>
              <w:start w:w="120" w:type="dxa"/>
              <w:bottom w:w="100" w:type="dxa"/>
              <w:end w:w="120" w:type="dxa"/>
            </w:tcMar>
            <w:shd w:fill="EEF4F8"/>
          </w:tcPr>
          <w:p>
            <w:pPr>
              <w:spacing w:after="0"/>
              <w:jc w:val="center"/>
            </w:pPr>
            <w:r>
              <w:rPr>
                <w:sz w:val="18"/>
              </w:rPr>
              <w:t>Carga y validacion</w:t>
            </w:r>
          </w:p>
        </w:tc>
      </w:tr>
      <w:tr>
        <w:tc>
          <w:tcPr>
            <w:tcW w:type="dxa" w:w="2835"/>
            <w:vAlign w:val="center"/>
            <w:tcMar>
              <w:top w:w="100" w:type="dxa"/>
              <w:start w:w="120" w:type="dxa"/>
              <w:bottom w:w="100" w:type="dxa"/>
              <w:end w:w="120" w:type="dxa"/>
            </w:tcMar>
          </w:tcPr>
          <w:p>
            <w:pPr>
              <w:spacing w:after="0"/>
              <w:jc w:val="left"/>
            </w:pPr>
            <w:r>
              <w:rPr>
                <w:sz w:val="18"/>
              </w:rPr>
              <w:t>src/features/</w:t>
            </w:r>
          </w:p>
        </w:tc>
        <w:tc>
          <w:tcPr>
            <w:tcW w:type="dxa" w:w="5953"/>
            <w:vAlign w:val="center"/>
            <w:tcMar>
              <w:top w:w="100" w:type="dxa"/>
              <w:start w:w="120" w:type="dxa"/>
              <w:bottom w:w="100" w:type="dxa"/>
              <w:end w:w="120" w:type="dxa"/>
            </w:tcMar>
          </w:tcPr>
          <w:p>
            <w:pPr>
              <w:spacing w:after="0"/>
              <w:jc w:val="center"/>
            </w:pPr>
            <w:r>
              <w:rPr>
                <w:sz w:val="18"/>
              </w:rPr>
              <w:t>Preprocesamiento</w:t>
            </w:r>
          </w:p>
        </w:tc>
      </w:tr>
      <w:tr>
        <w:tc>
          <w:tcPr>
            <w:tcW w:type="dxa" w:w="2835"/>
            <w:vAlign w:val="center"/>
            <w:tcMar>
              <w:top w:w="100" w:type="dxa"/>
              <w:start w:w="120" w:type="dxa"/>
              <w:bottom w:w="100" w:type="dxa"/>
              <w:end w:w="120" w:type="dxa"/>
            </w:tcMar>
            <w:shd w:fill="EEF4F8"/>
          </w:tcPr>
          <w:p>
            <w:pPr>
              <w:spacing w:after="0"/>
              <w:jc w:val="left"/>
            </w:pPr>
            <w:r>
              <w:rPr>
                <w:sz w:val="18"/>
              </w:rPr>
              <w:t>src/evaluation/</w:t>
            </w:r>
          </w:p>
        </w:tc>
        <w:tc>
          <w:tcPr>
            <w:tcW w:type="dxa" w:w="5953"/>
            <w:vAlign w:val="center"/>
            <w:tcMar>
              <w:top w:w="100" w:type="dxa"/>
              <w:start w:w="120" w:type="dxa"/>
              <w:bottom w:w="100" w:type="dxa"/>
              <w:end w:w="120" w:type="dxa"/>
            </w:tcMar>
            <w:shd w:fill="EEF4F8"/>
          </w:tcPr>
          <w:p>
            <w:pPr>
              <w:spacing w:after="0"/>
              <w:jc w:val="center"/>
            </w:pPr>
            <w:r>
              <w:rPr>
                <w:sz w:val="18"/>
              </w:rPr>
              <w:t>Cálculo de métricas</w:t>
            </w:r>
          </w:p>
        </w:tc>
      </w:tr>
      <w:tr>
        <w:tc>
          <w:tcPr>
            <w:tcW w:type="dxa" w:w="2835"/>
            <w:vAlign w:val="center"/>
            <w:tcMar>
              <w:top w:w="100" w:type="dxa"/>
              <w:start w:w="120" w:type="dxa"/>
              <w:bottom w:w="100" w:type="dxa"/>
              <w:end w:w="120" w:type="dxa"/>
            </w:tcMar>
          </w:tcPr>
          <w:p>
            <w:pPr>
              <w:spacing w:after="0"/>
              <w:jc w:val="left"/>
            </w:pPr>
            <w:r>
              <w:rPr>
                <w:sz w:val="18"/>
              </w:rPr>
              <w:t>src/training/</w:t>
            </w:r>
          </w:p>
        </w:tc>
        <w:tc>
          <w:tcPr>
            <w:tcW w:type="dxa" w:w="5953"/>
            <w:vAlign w:val="center"/>
            <w:tcMar>
              <w:top w:w="100" w:type="dxa"/>
              <w:start w:w="120" w:type="dxa"/>
              <w:bottom w:w="100" w:type="dxa"/>
              <w:end w:w="120" w:type="dxa"/>
            </w:tcMar>
          </w:tcPr>
          <w:p>
            <w:pPr>
              <w:spacing w:after="0"/>
              <w:jc w:val="center"/>
            </w:pPr>
            <w:r>
              <w:rPr>
                <w:sz w:val="18"/>
              </w:rPr>
              <w:t>Entrenamiento y registro en MLflow</w:t>
            </w:r>
          </w:p>
        </w:tc>
      </w:tr>
      <w:tr>
        <w:tc>
          <w:tcPr>
            <w:tcW w:type="dxa" w:w="2835"/>
            <w:vAlign w:val="center"/>
            <w:tcMar>
              <w:top w:w="100" w:type="dxa"/>
              <w:start w:w="120" w:type="dxa"/>
              <w:bottom w:w="100" w:type="dxa"/>
              <w:end w:w="120" w:type="dxa"/>
            </w:tcMar>
            <w:shd w:fill="EEF4F8"/>
          </w:tcPr>
          <w:p>
            <w:pPr>
              <w:spacing w:after="0"/>
              <w:jc w:val="left"/>
            </w:pPr>
            <w:r>
              <w:rPr>
                <w:sz w:val="18"/>
              </w:rPr>
              <w:t>src/inference/</w:t>
            </w:r>
          </w:p>
        </w:tc>
        <w:tc>
          <w:tcPr>
            <w:tcW w:type="dxa" w:w="5953"/>
            <w:vAlign w:val="center"/>
            <w:tcMar>
              <w:top w:w="100" w:type="dxa"/>
              <w:start w:w="120" w:type="dxa"/>
              <w:bottom w:w="100" w:type="dxa"/>
              <w:end w:w="120" w:type="dxa"/>
            </w:tcMar>
            <w:shd w:fill="EEF4F8"/>
          </w:tcPr>
          <w:p>
            <w:pPr>
              <w:spacing w:after="0"/>
              <w:jc w:val="center"/>
            </w:pPr>
            <w:r>
              <w:rPr>
                <w:sz w:val="18"/>
              </w:rPr>
              <w:t>Predicciones desde un archivo CSV</w:t>
            </w:r>
          </w:p>
        </w:tc>
      </w:tr>
      <w:tr>
        <w:tc>
          <w:tcPr>
            <w:tcW w:type="dxa" w:w="2835"/>
            <w:vAlign w:val="center"/>
            <w:tcMar>
              <w:top w:w="100" w:type="dxa"/>
              <w:start w:w="120" w:type="dxa"/>
              <w:bottom w:w="100" w:type="dxa"/>
              <w:end w:w="120" w:type="dxa"/>
            </w:tcMar>
          </w:tcPr>
          <w:p>
            <w:pPr>
              <w:spacing w:after="0"/>
              <w:jc w:val="left"/>
            </w:pPr>
            <w:r>
              <w:rPr>
                <w:sz w:val="18"/>
              </w:rPr>
              <w:t>results/</w:t>
            </w:r>
          </w:p>
        </w:tc>
        <w:tc>
          <w:tcPr>
            <w:tcW w:type="dxa" w:w="5953"/>
            <w:vAlign w:val="center"/>
            <w:tcMar>
              <w:top w:w="100" w:type="dxa"/>
              <w:start w:w="120" w:type="dxa"/>
              <w:bottom w:w="100" w:type="dxa"/>
              <w:end w:w="120" w:type="dxa"/>
            </w:tcMar>
          </w:tcPr>
          <w:p>
            <w:pPr>
              <w:spacing w:after="0"/>
              <w:jc w:val="center"/>
            </w:pPr>
            <w:r>
              <w:rPr>
                <w:sz w:val="18"/>
              </w:rPr>
              <w:t>Resultados generados al ejecutar los scripts</w:t>
            </w:r>
          </w:p>
        </w:tc>
      </w:tr>
      <w:tr>
        <w:tc>
          <w:tcPr>
            <w:tcW w:type="dxa" w:w="2835"/>
            <w:vAlign w:val="center"/>
            <w:tcMar>
              <w:top w:w="100" w:type="dxa"/>
              <w:start w:w="120" w:type="dxa"/>
              <w:bottom w:w="100" w:type="dxa"/>
              <w:end w:w="120" w:type="dxa"/>
            </w:tcMar>
            <w:shd w:fill="EEF4F8"/>
          </w:tcPr>
          <w:p>
            <w:pPr>
              <w:spacing w:after="0"/>
              <w:jc w:val="left"/>
            </w:pPr>
            <w:r>
              <w:rPr>
                <w:sz w:val="18"/>
              </w:rPr>
              <w:t>README.md</w:t>
            </w:r>
          </w:p>
        </w:tc>
        <w:tc>
          <w:tcPr>
            <w:tcW w:type="dxa" w:w="5953"/>
            <w:vAlign w:val="center"/>
            <w:tcMar>
              <w:top w:w="100" w:type="dxa"/>
              <w:start w:w="120" w:type="dxa"/>
              <w:bottom w:w="100" w:type="dxa"/>
              <w:end w:w="120" w:type="dxa"/>
            </w:tcMar>
            <w:shd w:fill="EEF4F8"/>
          </w:tcPr>
          <w:p>
            <w:pPr>
              <w:spacing w:after="0"/>
              <w:jc w:val="center"/>
            </w:pPr>
            <w:r>
              <w:rPr>
                <w:sz w:val="18"/>
              </w:rPr>
              <w:t>Instalación, ejecución y arquitectura del proyecto</w:t>
            </w:r>
          </w:p>
        </w:tc>
      </w:tr>
    </w:tbl>
    <w:p>
      <w:pPr>
        <w:spacing w:after="0"/>
      </w:pPr>
    </w:p>
    <w:p>
      <w:pPr>
        <w:pStyle w:val="Heading1"/>
      </w:pPr>
      <w:r>
        <w:t>Modelo guardado e inferencia</w:t>
      </w:r>
    </w:p>
    <w:p>
      <w:pPr>
        <w:keepNext/>
      </w:pPr>
      <w:r>
        <w:t>Al finalizar el entrenamiento, el pipeline completo se guarda en models/churn_pipeline.joblib. El archivo contiene el preprocesamiento y el modelo, por lo que no hace falta repetir manualmente las transformaciones al predecir.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268"/>
            <w:vAlign w:val="center"/>
            <w:shd w:fill="274C77"/>
            <w:tcMar>
              <w:top w:w="100" w:type="dxa"/>
              <w:start w:w="120" w:type="dxa"/>
              <w:bottom w:w="100" w:type="dxa"/>
              <w:end w:w="120" w:type="dxa"/>
            </w:tcMar>
          </w:tcPr>
          <w:p>
            <w:pPr>
              <w:keepNext/>
              <w:spacing w:after="0"/>
              <w:jc w:val="center"/>
            </w:pPr>
            <w:r>
              <w:rPr>
                <w:b/>
                <w:color w:val="FFFFFF"/>
                <w:sz w:val="19"/>
              </w:rPr>
              <w:t>Elemento</w:t>
            </w:r>
          </w:p>
        </w:tc>
        <w:tc>
          <w:tcPr>
            <w:tcW w:type="dxa" w:w="6520"/>
            <w:vAlign w:val="center"/>
            <w:shd w:fill="274C77"/>
            <w:tcMar>
              <w:top w:w="100" w:type="dxa"/>
              <w:start w:w="120" w:type="dxa"/>
              <w:bottom w:w="100" w:type="dxa"/>
              <w:end w:w="120" w:type="dxa"/>
            </w:tcMar>
          </w:tcPr>
          <w:p>
            <w:pPr>
              <w:keepNext/>
              <w:spacing w:after="0"/>
              <w:jc w:val="center"/>
            </w:pPr>
            <w:r>
              <w:rPr>
                <w:b/>
                <w:color w:val="FFFFFF"/>
                <w:sz w:val="19"/>
              </w:rPr>
              <w:t>Función</w:t>
            </w:r>
          </w:p>
        </w:tc>
      </w:tr>
      <w:tr>
        <w:tc>
          <w:tcPr>
            <w:tcW w:type="dxa" w:w="2268"/>
            <w:vAlign w:val="center"/>
            <w:tcMar>
              <w:top w:w="100" w:type="dxa"/>
              <w:start w:w="120" w:type="dxa"/>
              <w:bottom w:w="100" w:type="dxa"/>
              <w:end w:w="120" w:type="dxa"/>
            </w:tcMar>
          </w:tcPr>
          <w:p>
            <w:pPr>
              <w:spacing w:after="0"/>
              <w:jc w:val="left"/>
            </w:pPr>
            <w:r>
              <w:rPr>
                <w:sz w:val="18"/>
              </w:rPr>
              <w:t>Archivo de entrada</w:t>
            </w:r>
          </w:p>
        </w:tc>
        <w:tc>
          <w:tcPr>
            <w:tcW w:type="dxa" w:w="6520"/>
            <w:vAlign w:val="center"/>
            <w:tcMar>
              <w:top w:w="100" w:type="dxa"/>
              <w:start w:w="120" w:type="dxa"/>
              <w:bottom w:w="100" w:type="dxa"/>
              <w:end w:w="120" w:type="dxa"/>
            </w:tcMar>
          </w:tcPr>
          <w:p>
            <w:pPr>
              <w:spacing w:after="0"/>
              <w:jc w:val="center"/>
            </w:pPr>
            <w:r>
              <w:rPr>
                <w:sz w:val="18"/>
              </w:rPr>
              <w:t>CSV con uno o mas clientes</w:t>
            </w:r>
          </w:p>
        </w:tc>
      </w:tr>
      <w:tr>
        <w:tc>
          <w:tcPr>
            <w:tcW w:type="dxa" w:w="2268"/>
            <w:vAlign w:val="center"/>
            <w:tcMar>
              <w:top w:w="100" w:type="dxa"/>
              <w:start w:w="120" w:type="dxa"/>
              <w:bottom w:w="100" w:type="dxa"/>
              <w:end w:w="120" w:type="dxa"/>
            </w:tcMar>
            <w:shd w:fill="EEF4F8"/>
          </w:tcPr>
          <w:p>
            <w:pPr>
              <w:spacing w:after="0"/>
              <w:jc w:val="left"/>
            </w:pPr>
            <w:r>
              <w:rPr>
                <w:sz w:val="18"/>
              </w:rPr>
              <w:t>Pipeline joblib</w:t>
            </w:r>
          </w:p>
        </w:tc>
        <w:tc>
          <w:tcPr>
            <w:tcW w:type="dxa" w:w="6520"/>
            <w:vAlign w:val="center"/>
            <w:tcMar>
              <w:top w:w="100" w:type="dxa"/>
              <w:start w:w="120" w:type="dxa"/>
              <w:bottom w:w="100" w:type="dxa"/>
              <w:end w:w="120" w:type="dxa"/>
            </w:tcMar>
            <w:shd w:fill="EEF4F8"/>
          </w:tcPr>
          <w:p>
            <w:pPr>
              <w:spacing w:after="0"/>
              <w:jc w:val="center"/>
            </w:pPr>
            <w:r>
              <w:rPr>
                <w:sz w:val="18"/>
              </w:rPr>
              <w:t>Aplica las transformaciones y calcula la predicción</w:t>
            </w:r>
          </w:p>
        </w:tc>
      </w:tr>
      <w:tr>
        <w:tc>
          <w:tcPr>
            <w:tcW w:type="dxa" w:w="2268"/>
            <w:vAlign w:val="center"/>
            <w:tcMar>
              <w:top w:w="100" w:type="dxa"/>
              <w:start w:w="120" w:type="dxa"/>
              <w:bottom w:w="100" w:type="dxa"/>
              <w:end w:w="120" w:type="dxa"/>
            </w:tcMar>
          </w:tcPr>
          <w:p>
            <w:pPr>
              <w:spacing w:after="0"/>
              <w:jc w:val="left"/>
            </w:pPr>
            <w:r>
              <w:rPr>
                <w:sz w:val="18"/>
              </w:rPr>
              <w:t>Archivo de salida</w:t>
            </w:r>
          </w:p>
        </w:tc>
        <w:tc>
          <w:tcPr>
            <w:tcW w:type="dxa" w:w="6520"/>
            <w:vAlign w:val="center"/>
            <w:tcMar>
              <w:top w:w="100" w:type="dxa"/>
              <w:start w:w="120" w:type="dxa"/>
              <w:bottom w:w="100" w:type="dxa"/>
              <w:end w:w="120" w:type="dxa"/>
            </w:tcMar>
          </w:tcPr>
          <w:p>
            <w:pPr>
              <w:spacing w:after="0"/>
              <w:jc w:val="center"/>
            </w:pPr>
            <w:r>
              <w:rPr>
                <w:sz w:val="18"/>
              </w:rPr>
              <w:t>results/predictions.csv con clase y probabilidad</w:t>
            </w:r>
          </w:p>
        </w:tc>
      </w:tr>
    </w:tbl>
    <w:p>
      <w:pPr>
        <w:spacing w:after="0"/>
      </w:pPr>
    </w:p>
    <w:p>
      <w:r>
        <w:t>La inferencia se ejecuta con python -m src.inference.predict archivo_clientes.csv. La carpeta app queda reservada para una API futura, como indica la estructura presentada en clase, pero no agrega complejidad a esta entrega.</w:t>
      </w:r>
    </w:p>
    <w:p>
      <w:pPr>
        <w:pStyle w:val="Heading1"/>
      </w:pPr>
      <w:r>
        <w:t>Pruebas automatizadas</w:t>
      </w:r>
    </w:p>
    <w:p>
      <w:r>
        <w:t>La carpeta tests contiene dos verificaciones simples. No necesitan conectarse a DagsHub y se ejecutan con pytest. La ejecucion actual finalizo con dos pruebas aprobadas.</w:t>
      </w:r>
    </w:p>
    <w:p>
      <w:pPr>
        <w:pStyle w:val="ListBullet"/>
        <w:spacing w:after="60"/>
      </w:pPr>
      <w:r>
        <w:t>Las métricas producen la matriz de confusión esperada.</w:t>
      </w:r>
    </w:p>
    <w:p>
      <w:pPr>
        <w:pStyle w:val="ListBullet"/>
        <w:spacing w:after="60"/>
      </w:pPr>
      <w:r>
        <w:t>El preprocesamiento admite faltantes y categorías desconocidas.</w:t>
      </w:r>
    </w:p>
    <w:p>
      <w:pPr>
        <w:pStyle w:val="Heading1"/>
      </w:pPr>
      <w:r>
        <w:t>Resumen del trabajo realizado</w:t>
      </w:r>
    </w:p>
    <w:p>
      <w:r>
        <w:t>Nuestro proyecto busca predecir qué clientes de una empresa de telecomunicaciones pueden abandonar el servicio. Primero analizamos un dataset de 7.043 clientes y preparamos las variables mediante un pipeline. Comparamos seis configuraciones con un conjunto de validacion y priorizamos recall porque nos interesa detectar la mayor cantidad posible de clientes con riesgo de abandono.</w:t>
      </w:r>
    </w:p>
    <w:p>
      <w:r>
        <w:t>El modelo seleccionado fue un Random Forest de 300 árboles y profundidad máxima 12. Luego lo reentrenamos y lo evaluamos una sola vez sobre un conjunto de test que se había mantenido aislado. En esa evaluación obtuvo un recall de 0,634 y un ROC AUC de 0,801.</w:t>
      </w:r>
    </w:p>
    <w:p>
      <w:r>
        <w:t>Para que el proceso sea reproducible usamos Git y GitHub para el código, DVC para versionar el CSV y DagsHub con MLflow para almacenar los datos, las métricas, las corridas y el modelo registrado. La logica reutilizable queda en src, el pipeline entrenado se guarda con joblib y Pytest comprueba dos componentes principales. La carpeta app queda preparada para una etapa futura.</w:t>
      </w:r>
    </w:p>
    <w:p>
      <w:pPr>
        <w:pStyle w:val="Heading1"/>
      </w:pPr>
      <w:r>
        <w:t>Decisiones principales</w:t>
      </w:r>
    </w:p>
    <w:p>
      <w:pPr>
        <w:spacing w:after="120"/>
      </w:pPr>
      <w:r>
        <w:rPr>
          <w:b/>
        </w:rPr>
        <w:t xml:space="preserve">Por qué se elimina customerID. </w:t>
      </w:r>
      <w:r>
        <w:t>Porque es un identificador y no aporta un patron generalizable sobre el comportamiento del cliente.</w:t>
      </w:r>
    </w:p>
    <w:p>
      <w:pPr>
        <w:spacing w:after="120"/>
      </w:pPr>
      <w:r>
        <w:rPr>
          <w:b/>
        </w:rPr>
        <w:t xml:space="preserve">Por qué se prioriza recall. </w:t>
      </w:r>
      <w:r>
        <w:t>Porque interesa reducir los clientes que abandonan sin ser detectados, es decir, los falsos negativos.</w:t>
      </w:r>
    </w:p>
    <w:p>
      <w:pPr>
        <w:spacing w:after="120"/>
      </w:pPr>
      <w:r>
        <w:rPr>
          <w:b/>
        </w:rPr>
        <w:t xml:space="preserve">Por qué se usa un conjunto de test separado. </w:t>
      </w:r>
      <w:r>
        <w:t>Para obtener una evaluación final que no haya influido en la selección del modelo.</w:t>
      </w:r>
    </w:p>
    <w:p>
      <w:pPr>
        <w:spacing w:after="120"/>
      </w:pPr>
      <w:r>
        <w:rPr>
          <w:b/>
        </w:rPr>
        <w:t xml:space="preserve">Para qué sirve DVC. </w:t>
      </w:r>
      <w:r>
        <w:t>Para controlar versiones del dataset sin subir el CSV completo a Git.</w:t>
      </w:r>
    </w:p>
    <w:p>
      <w:pPr>
        <w:spacing w:after="120"/>
      </w:pPr>
      <w:r>
        <w:rPr>
          <w:b/>
        </w:rPr>
        <w:t xml:space="preserve">Para qué sirve MLflow. </w:t>
      </w:r>
      <w:r>
        <w:t>Para comparar corridas y guardar parámetros, métricas, artefactos y versiones del modelo.</w:t>
      </w:r>
    </w:p>
    <w:p>
      <w:pPr>
        <w:spacing w:after="120"/>
      </w:pPr>
      <w:r>
        <w:rPr>
          <w:b/>
        </w:rPr>
        <w:t xml:space="preserve">Para qué sirve joblib. </w:t>
      </w:r>
      <w:r>
        <w:t>Para guardar el pipeline entrenado y volver a utilizarlo sin entrenar otra vez.</w:t>
      </w:r>
    </w:p>
    <w:p>
      <w:pPr>
        <w:spacing w:after="120"/>
      </w:pPr>
      <w:r>
        <w:rPr>
          <w:b/>
        </w:rPr>
        <w:t xml:space="preserve">Como se hacen predicciones. </w:t>
      </w:r>
      <w:r>
        <w:t>Con el modulo src.inference.predict, que lee un CSV y genera results/predictions.csv.</w:t>
      </w:r>
    </w:p>
    <w:p>
      <w:pPr>
        <w:spacing w:after="120"/>
      </w:pPr>
      <w:r>
        <w:rPr>
          <w:b/>
        </w:rPr>
        <w:t xml:space="preserve">Que comprueban los tests. </w:t>
      </w:r>
      <w:r>
        <w:t>Comprueban el calculo de métricas y el preprocesamiento.</w:t>
      </w:r>
    </w:p>
    <w:p>
      <w:pPr>
        <w:spacing w:after="120"/>
      </w:pPr>
      <w:r>
        <w:rPr>
          <w:b/>
        </w:rPr>
        <w:t xml:space="preserve">Qué significa reproducible. </w:t>
      </w:r>
      <w:r>
        <w:t>Que otra persona puede recuperar los mismos datos y ejecutar el mismo proceso con resultados comparables.</w:t>
      </w:r>
    </w:p>
    <w:p>
      <w:pPr>
        <w:pStyle w:val="Heading1"/>
      </w:pPr>
      <w:r>
        <w:t>Estado de la entrega</w:t>
      </w:r>
    </w:p>
    <w:p>
      <w:pPr>
        <w:pStyle w:val="ListBullet"/>
        <w:spacing w:after="60"/>
      </w:pPr>
      <w:r>
        <w:t>El repositorio contiene README, dependencias, código organizado y archivos de configuración.</w:t>
      </w:r>
    </w:p>
    <w:p>
      <w:pPr>
        <w:pStyle w:val="ListBullet"/>
        <w:spacing w:after="60"/>
      </w:pPr>
      <w:r>
        <w:t>El CSV está controlado por DVC y almacenado en el remoto de DagsHub, no directamente en Git.</w:t>
      </w:r>
    </w:p>
    <w:p>
      <w:pPr>
        <w:pStyle w:val="ListBullet"/>
        <w:spacing w:after="60"/>
      </w:pPr>
      <w:r>
        <w:t>Las corridas de MLflow son visibles y el modelo candidato está registrado como versión 3.</w:t>
      </w:r>
    </w:p>
    <w:p>
      <w:pPr>
        <w:pStyle w:val="ListBullet"/>
        <w:spacing w:after="60"/>
      </w:pPr>
      <w:r>
        <w:t>El entrenamiento puede ejecutarse desde Python sin depender del notebook.</w:t>
      </w:r>
    </w:p>
    <w:p>
      <w:pPr>
        <w:pStyle w:val="ListBullet"/>
        <w:spacing w:after="60"/>
      </w:pPr>
      <w:r>
        <w:t>La recuperación técnica desde una segunda copia ya fue comprobada.</w:t>
      </w:r>
    </w:p>
    <w:p>
      <w:pPr>
        <w:pStyle w:val="ListBullet"/>
        <w:spacing w:after="60"/>
      </w:pPr>
      <w:r>
        <w:t>Como evidencia final de equipo, resta que otro integrante repita el flujo completo con sus propias credenciales autorizadas.</w:t>
      </w:r>
    </w:p>
    <w:p>
      <w:pPr>
        <w:pStyle w:val="Heading2"/>
      </w:pPr>
      <w:r>
        <w:t>Comandos de reproducción</w:t>
      </w:r>
    </w:p>
    <w:p>
      <w:pPr>
        <w:spacing w:before="60" w:after="140"/>
        <w:ind w:left="397" w:right="397"/>
      </w:pPr>
      <w:r>
        <w:rPr>
          <w:rFonts w:ascii="Consolas" w:hAnsi="Consolas"/>
          <w:sz w:val="19"/>
        </w:rPr>
        <w:t>dvc pull</w:t>
      </w:r>
    </w:p>
    <w:p>
      <w:pPr>
        <w:spacing w:before="60" w:after="140"/>
        <w:ind w:left="397" w:right="397"/>
      </w:pPr>
      <w:r>
        <w:rPr>
          <w:rFonts w:ascii="Consolas" w:hAnsi="Consolas"/>
          <w:sz w:val="19"/>
        </w:rPr>
        <w:t>python scripts/eda.py</w:t>
      </w:r>
    </w:p>
    <w:p>
      <w:pPr>
        <w:spacing w:before="60" w:after="140"/>
        <w:ind w:left="397" w:right="397"/>
      </w:pPr>
      <w:r>
        <w:rPr>
          <w:rFonts w:ascii="Consolas" w:hAnsi="Consolas"/>
          <w:sz w:val="19"/>
        </w:rPr>
        <w:t>python -m src.training.train</w:t>
      </w:r>
    </w:p>
    <w:p>
      <w:pPr>
        <w:spacing w:before="60" w:after="140"/>
        <w:ind w:left="397" w:right="397"/>
      </w:pPr>
      <w:r>
        <w:rPr>
          <w:rFonts w:ascii="Consolas" w:hAnsi="Consolas"/>
          <w:sz w:val="19"/>
        </w:rPr>
        <w:t>pytest</w:t>
      </w:r>
    </w:p>
    <w:p>
      <w:pPr>
        <w:spacing w:before="60" w:after="140"/>
        <w:ind w:left="397" w:right="397"/>
      </w:pPr>
      <w:r>
        <w:rPr>
          <w:rFonts w:ascii="Consolas" w:hAnsi="Consolas"/>
          <w:sz w:val="19"/>
        </w:rPr>
        <w:t>python -m src.inference.predict archivo_clientes.csv</w:t>
      </w:r>
    </w:p>
    <w:p>
      <w:r>
        <w:t>El token de DagsHub y el archivo .dvc/config.local son credenciales personales. No deben enviarse a otra persona ni incluirse en GitHub.</w:t>
      </w:r>
    </w:p>
    <w:p>
      <w:pPr>
        <w:pStyle w:val="Heading2"/>
      </w:pPr>
      <w:r>
        <w:t>Limitaciones</w:t>
      </w:r>
    </w:p>
    <w:p>
      <w:pPr>
        <w:pStyle w:val="ListBullet"/>
        <w:spacing w:after="60"/>
      </w:pPr>
      <w:r>
        <w:t>El puntaje de selección pondera recall, F1 y ROC AUC según una decisión académica del proyecto.</w:t>
      </w:r>
    </w:p>
    <w:p>
      <w:pPr>
        <w:pStyle w:val="ListBullet"/>
        <w:spacing w:after="60"/>
      </w:pPr>
      <w:r>
        <w:t>Se comparó un conjunto acotado de configuraciones; no se realizó una búsqueda exhaustiva de hiperparámetros.</w:t>
      </w:r>
    </w:p>
    <w:p>
      <w:pPr>
        <w:pStyle w:val="ListBullet"/>
        <w:spacing w:after="60"/>
      </w:pPr>
      <w:r>
        <w:t>La partición es aleatoria y estratificada, pero no incluye una validación temporal.</w:t>
      </w:r>
    </w:p>
    <w:sectPr w:rsidR="00FC693F" w:rsidRPr="0006063C" w:rsidSect="00034616">
      <w:footerReference w:type="default" r:id="rId9"/>
      <w:headerReference w:type="default" r:id="rId10"/>
      <w:pgSz w:w="12240" w:h="15840"/>
      <w:pgMar w:top="1080" w:right="1181" w:bottom="1080" w:left="1181"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Explicacion del proyecto Customer Churn</dc:title>
  <dc:subject>Primer parcial de Laboratorio de Mineria de Datos</dc:subject>
  <dc:creator>python-docx</dc:creator>
  <cp:keywords/>
  <dc:description>Documento explicativo para compartir con el equipo</dc:description>
  <cp:lastModifiedBy/>
  <cp:revision>1</cp:revision>
  <dcterms:created xsi:type="dcterms:W3CDTF">2013-12-23T23:15:00Z</dcterms:created>
  <dcterms:modified xsi:type="dcterms:W3CDTF">2013-12-23T23:15:00Z</dcterms:modified>
  <cp:category/>
</cp:coreProperties>
</file>