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B17931">
      <w:pPr>
        <w:jc w:val="center"/>
        <w:rPr>
          <w:rFonts w:hint="default" w:ascii="Arial" w:hAnsi="Arial" w:cs="Arial"/>
          <w:b/>
          <w:bCs/>
          <w:sz w:val="32"/>
          <w:szCs w:val="32"/>
        </w:rPr>
      </w:pPr>
      <w:r>
        <w:rPr>
          <w:rFonts w:hint="default" w:ascii="Arial" w:hAnsi="Arial" w:cs="Arial"/>
          <w:b/>
          <w:bCs/>
          <w:sz w:val="32"/>
          <w:szCs w:val="32"/>
        </w:rPr>
        <w:t>RELATÓRIO COMPLETO</w:t>
      </w:r>
    </w:p>
    <w:p w14:paraId="3926F2B7">
      <w:pPr>
        <w:jc w:val="both"/>
        <w:rPr>
          <w:rFonts w:hint="default" w:ascii="Arial" w:hAnsi="Arial" w:cs="Arial"/>
          <w:sz w:val="24"/>
          <w:szCs w:val="24"/>
        </w:rPr>
      </w:pPr>
    </w:p>
    <w:p w14:paraId="71E68323">
      <w:pPr>
        <w:jc w:val="both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PROGRAMA DE TRANSFORMAÇÃO DIGITAL</w:t>
      </w:r>
    </w:p>
    <w:p w14:paraId="40529186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Diagnóstico do Uso de Protocolo Digital vs Físico</w:t>
      </w:r>
    </w:p>
    <w:p w14:paraId="5CC18C78">
      <w:pPr>
        <w:jc w:val="both"/>
        <w:rPr>
          <w:rFonts w:hint="default" w:ascii="Arial" w:hAnsi="Arial" w:cs="Arial"/>
          <w:sz w:val="24"/>
          <w:szCs w:val="24"/>
        </w:rPr>
      </w:pPr>
    </w:p>
    <w:p w14:paraId="65CBA6FD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Relatório </w:t>
      </w:r>
      <w:r>
        <w:rPr>
          <w:rFonts w:hint="default" w:ascii="Arial" w:hAnsi="Arial" w:cs="Arial"/>
          <w:sz w:val="24"/>
          <w:szCs w:val="24"/>
          <w:lang w:val="pt-BR"/>
        </w:rPr>
        <w:t xml:space="preserve">- </w:t>
      </w:r>
      <w:r>
        <w:rPr>
          <w:rFonts w:hint="default" w:ascii="Arial" w:hAnsi="Arial" w:cs="Arial"/>
          <w:sz w:val="24"/>
          <w:szCs w:val="24"/>
        </w:rPr>
        <w:t>Base Legal: Lei nº 14.129/2021</w:t>
      </w:r>
    </w:p>
    <w:p w14:paraId="5DB7C6BC">
      <w:pPr>
        <w:jc w:val="both"/>
        <w:rPr>
          <w:rFonts w:hint="default" w:ascii="Arial" w:hAnsi="Arial" w:cs="Arial"/>
          <w:sz w:val="24"/>
          <w:szCs w:val="24"/>
        </w:rPr>
      </w:pPr>
    </w:p>
    <w:p w14:paraId="7D923B99">
      <w:pPr>
        <w:jc w:val="both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1. RESUMO EXECUTIVO</w:t>
      </w:r>
    </w:p>
    <w:p w14:paraId="2F27FA0E">
      <w:pPr>
        <w:jc w:val="both"/>
        <w:rPr>
          <w:rFonts w:hint="default" w:ascii="Arial" w:hAnsi="Arial" w:cs="Arial"/>
          <w:sz w:val="24"/>
          <w:szCs w:val="24"/>
        </w:rPr>
      </w:pPr>
    </w:p>
    <w:p w14:paraId="792521C1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Este relatório apresenta o diagnóstico do nível de adoção do protocolo digital nos municípios analisados, com base na relação entre processos digitais e </w:t>
      </w:r>
      <w:r>
        <w:rPr>
          <w:rFonts w:hint="default" w:ascii="Arial" w:hAnsi="Arial" w:cs="Arial"/>
          <w:sz w:val="24"/>
          <w:szCs w:val="24"/>
          <w:lang w:val="pt-BR"/>
        </w:rPr>
        <w:t>fi</w:t>
      </w:r>
      <w:r>
        <w:rPr>
          <w:rFonts w:hint="default" w:ascii="Arial" w:hAnsi="Arial" w:cs="Arial"/>
          <w:sz w:val="24"/>
          <w:szCs w:val="24"/>
        </w:rPr>
        <w:t>sicos.</w:t>
      </w:r>
    </w:p>
    <w:p w14:paraId="03E30BF7">
      <w:pPr>
        <w:jc w:val="both"/>
        <w:rPr>
          <w:rFonts w:hint="default" w:ascii="Arial" w:hAnsi="Arial" w:cs="Arial"/>
          <w:sz w:val="24"/>
          <w:szCs w:val="24"/>
        </w:rPr>
      </w:pPr>
    </w:p>
    <w:p w14:paraId="3CFD307F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 análise evidencia cenários distintos de maturidade digital, com presença de órgãos totalmente digitais, em transição e ainda dependentes do meio físico, indicando necessidade de ações estruturadas para conformidade com a legislação.</w:t>
      </w:r>
    </w:p>
    <w:p w14:paraId="2E4D99D1">
      <w:pPr>
        <w:jc w:val="both"/>
        <w:rPr>
          <w:rFonts w:hint="default" w:ascii="Arial" w:hAnsi="Arial" w:cs="Arial"/>
          <w:sz w:val="24"/>
          <w:szCs w:val="24"/>
        </w:rPr>
      </w:pPr>
    </w:p>
    <w:p w14:paraId="5EF809ED">
      <w:pPr>
        <w:jc w:val="both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2. VISÃO GERAL DOS DADOS</w:t>
      </w:r>
    </w:p>
    <w:p w14:paraId="1F67198F">
      <w:pPr>
        <w:jc w:val="both"/>
        <w:rPr>
          <w:rFonts w:hint="default" w:ascii="Arial" w:hAnsi="Arial" w:cs="Arial"/>
          <w:sz w:val="24"/>
          <w:szCs w:val="24"/>
        </w:rPr>
      </w:pPr>
    </w:p>
    <w:p w14:paraId="1414CB9D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Municípios analisados: 39</w:t>
      </w:r>
      <w:r>
        <w:rPr>
          <w:rFonts w:hint="default" w:ascii="Arial" w:hAnsi="Arial" w:cs="Arial"/>
          <w:sz w:val="24"/>
          <w:szCs w:val="24"/>
          <w:lang w:val="pt-BR"/>
        </w:rPr>
        <w:t xml:space="preserve"> - </w:t>
      </w:r>
      <w:r>
        <w:rPr>
          <w:rFonts w:hint="default" w:ascii="Arial" w:hAnsi="Arial" w:cs="Arial"/>
          <w:sz w:val="24"/>
          <w:szCs w:val="24"/>
        </w:rPr>
        <w:t>Cenário heterogêneo de digitalização</w:t>
      </w:r>
      <w:r>
        <w:rPr>
          <w:rFonts w:hint="default" w:ascii="Arial" w:hAnsi="Arial" w:cs="Arial"/>
          <w:sz w:val="24"/>
          <w:szCs w:val="24"/>
          <w:lang w:val="pt-BR"/>
        </w:rPr>
        <w:t>, e</w:t>
      </w:r>
      <w:r>
        <w:rPr>
          <w:rFonts w:hint="default" w:ascii="Arial" w:hAnsi="Arial" w:cs="Arial"/>
          <w:sz w:val="24"/>
          <w:szCs w:val="24"/>
        </w:rPr>
        <w:t>xistência de:</w:t>
      </w:r>
    </w:p>
    <w:p w14:paraId="79ECA765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Órgãos 100% físicos</w:t>
      </w:r>
      <w:r>
        <w:rPr>
          <w:rFonts w:hint="default" w:ascii="Arial" w:hAnsi="Arial" w:cs="Arial"/>
          <w:sz w:val="24"/>
          <w:szCs w:val="24"/>
          <w:lang w:val="pt-BR"/>
        </w:rPr>
        <w:t>;</w:t>
      </w:r>
    </w:p>
    <w:p w14:paraId="62142141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Órgãos em transição</w:t>
      </w:r>
      <w:r>
        <w:rPr>
          <w:rFonts w:hint="default" w:ascii="Arial" w:hAnsi="Arial" w:cs="Arial"/>
          <w:sz w:val="24"/>
          <w:szCs w:val="24"/>
          <w:lang w:val="pt-BR"/>
        </w:rPr>
        <w:t>;</w:t>
      </w:r>
    </w:p>
    <w:p w14:paraId="09FB3CEA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</w:rPr>
        <w:t>Órgãos 100% digitais</w:t>
      </w:r>
      <w:r>
        <w:rPr>
          <w:rFonts w:hint="default" w:ascii="Arial" w:hAnsi="Arial" w:cs="Arial"/>
          <w:sz w:val="24"/>
          <w:szCs w:val="24"/>
          <w:lang w:val="pt-BR"/>
        </w:rPr>
        <w:t>;</w:t>
      </w:r>
    </w:p>
    <w:p w14:paraId="7465DF7E">
      <w:pPr>
        <w:numPr>
          <w:numId w:val="0"/>
        </w:numPr>
        <w:jc w:val="both"/>
        <w:rPr>
          <w:rFonts w:hint="default" w:ascii="Arial" w:hAnsi="Arial" w:cs="Arial"/>
          <w:sz w:val="24"/>
          <w:szCs w:val="24"/>
          <w:lang w:val="pt-BR"/>
        </w:rPr>
      </w:pPr>
    </w:p>
    <w:p w14:paraId="3DCB9639">
      <w:pPr>
        <w:jc w:val="both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3. CLASSIFICAÇÃO DOS MUNICÍPIOS</w:t>
      </w:r>
    </w:p>
    <w:p w14:paraId="1B5B2AF2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u w:val="single"/>
        </w:rPr>
        <w:t>CRÍTICOS</w:t>
      </w:r>
      <w:r>
        <w:rPr>
          <w:rFonts w:hint="default" w:ascii="Arial" w:hAnsi="Arial" w:cs="Arial"/>
          <w:sz w:val="24"/>
          <w:szCs w:val="24"/>
        </w:rPr>
        <w:t xml:space="preserve"> (alto uso físico)</w:t>
      </w:r>
    </w:p>
    <w:p w14:paraId="04B82F95">
      <w:pPr>
        <w:jc w:val="both"/>
        <w:rPr>
          <w:rFonts w:hint="default" w:ascii="Arial" w:hAnsi="Arial" w:cs="Arial"/>
          <w:sz w:val="24"/>
          <w:szCs w:val="24"/>
        </w:rPr>
      </w:pPr>
    </w:p>
    <w:p w14:paraId="0F71A2BF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Exemplos:</w:t>
      </w:r>
    </w:p>
    <w:p w14:paraId="04D828B0">
      <w:pPr>
        <w:jc w:val="both"/>
        <w:rPr>
          <w:rFonts w:hint="default" w:ascii="Arial" w:hAnsi="Arial" w:cs="Arial"/>
          <w:sz w:val="24"/>
          <w:szCs w:val="24"/>
        </w:rPr>
      </w:pPr>
    </w:p>
    <w:p w14:paraId="3CBD4B4C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Poá</w:t>
      </w:r>
    </w:p>
    <w:p w14:paraId="68EC89B1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Mococa</w:t>
      </w:r>
    </w:p>
    <w:p w14:paraId="4A02EAB8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Ferraz de Vasconcelos PM</w:t>
      </w:r>
    </w:p>
    <w:p w14:paraId="70BF54EB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Embu Guaçu PM</w:t>
      </w:r>
    </w:p>
    <w:p w14:paraId="2D7DA280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Jandira PM</w:t>
      </w:r>
    </w:p>
    <w:p w14:paraId="113A6FE6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Itu PM</w:t>
      </w:r>
    </w:p>
    <w:p w14:paraId="65A08DF2">
      <w:pPr>
        <w:jc w:val="both"/>
        <w:rPr>
          <w:rFonts w:hint="default" w:ascii="Arial" w:hAnsi="Arial" w:cs="Arial"/>
          <w:sz w:val="24"/>
          <w:szCs w:val="24"/>
        </w:rPr>
      </w:pPr>
    </w:p>
    <w:p w14:paraId="2CF04B65">
      <w:pPr>
        <w:jc w:val="both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</w:rPr>
        <w:t>Característica: forte dependência do papel</w:t>
      </w:r>
      <w:r>
        <w:rPr>
          <w:rFonts w:hint="default" w:ascii="Arial" w:hAnsi="Arial" w:cs="Arial"/>
          <w:sz w:val="24"/>
          <w:szCs w:val="24"/>
          <w:lang w:val="pt-BR"/>
        </w:rPr>
        <w:t>.</w:t>
      </w:r>
    </w:p>
    <w:p w14:paraId="47E12126">
      <w:pPr>
        <w:jc w:val="both"/>
        <w:rPr>
          <w:rFonts w:hint="default" w:ascii="Arial" w:hAnsi="Arial" w:cs="Arial"/>
          <w:sz w:val="24"/>
          <w:szCs w:val="24"/>
        </w:rPr>
      </w:pPr>
    </w:p>
    <w:p w14:paraId="373AB30A">
      <w:pPr>
        <w:jc w:val="both"/>
        <w:rPr>
          <w:rFonts w:hint="default" w:ascii="Arial" w:hAnsi="Arial" w:cs="Arial"/>
          <w:sz w:val="24"/>
          <w:szCs w:val="24"/>
          <w:u w:val="single"/>
        </w:rPr>
      </w:pPr>
      <w:r>
        <w:rPr>
          <w:rFonts w:hint="default" w:ascii="Arial" w:hAnsi="Arial" w:cs="Arial"/>
          <w:sz w:val="24"/>
          <w:szCs w:val="24"/>
          <w:u w:val="single"/>
        </w:rPr>
        <w:t>EM TRANSIÇÃO</w:t>
      </w:r>
    </w:p>
    <w:p w14:paraId="50CDCF2E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Cubatão</w:t>
      </w:r>
    </w:p>
    <w:p w14:paraId="74F89756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Caçapava PM</w:t>
      </w:r>
    </w:p>
    <w:p w14:paraId="2E6E9327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Caçapava CM</w:t>
      </w:r>
    </w:p>
    <w:p w14:paraId="59EFDC36">
      <w:pPr>
        <w:jc w:val="both"/>
        <w:rPr>
          <w:rFonts w:hint="default" w:ascii="Arial" w:hAnsi="Arial" w:cs="Arial"/>
          <w:sz w:val="24"/>
          <w:szCs w:val="24"/>
        </w:rPr>
      </w:pPr>
    </w:p>
    <w:p w14:paraId="5E66872F">
      <w:pPr>
        <w:jc w:val="both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</w:rPr>
        <w:t>Característica: digitalização iniciada, mas não consolidada</w:t>
      </w:r>
      <w:r>
        <w:rPr>
          <w:rFonts w:hint="default" w:ascii="Arial" w:hAnsi="Arial" w:cs="Arial"/>
          <w:sz w:val="24"/>
          <w:szCs w:val="24"/>
          <w:lang w:val="pt-BR"/>
        </w:rPr>
        <w:t>.</w:t>
      </w:r>
    </w:p>
    <w:p w14:paraId="706CBB23">
      <w:pPr>
        <w:jc w:val="both"/>
        <w:rPr>
          <w:rFonts w:hint="default" w:ascii="Arial" w:hAnsi="Arial" w:cs="Arial"/>
          <w:sz w:val="24"/>
          <w:szCs w:val="24"/>
        </w:rPr>
      </w:pPr>
    </w:p>
    <w:p w14:paraId="1B4F7412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u w:val="single"/>
        </w:rPr>
        <w:t>DIGITAIS</w:t>
      </w:r>
      <w:r>
        <w:rPr>
          <w:rFonts w:hint="default" w:ascii="Arial" w:hAnsi="Arial" w:cs="Arial"/>
          <w:sz w:val="24"/>
          <w:szCs w:val="24"/>
        </w:rPr>
        <w:t xml:space="preserve"> (referência)</w:t>
      </w:r>
    </w:p>
    <w:p w14:paraId="181F076A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Itapeva PM</w:t>
      </w:r>
    </w:p>
    <w:p w14:paraId="16FD3BA4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Cabreúva PM</w:t>
      </w:r>
    </w:p>
    <w:p w14:paraId="3220AA76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Bebedouro</w:t>
      </w:r>
    </w:p>
    <w:p w14:paraId="33F63CD2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Bragança</w:t>
      </w:r>
    </w:p>
    <w:p w14:paraId="150E9159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Mairiporã PM</w:t>
      </w:r>
    </w:p>
    <w:p w14:paraId="7E68AA40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Cordeirópolis PM</w:t>
      </w:r>
    </w:p>
    <w:p w14:paraId="169E5AC8">
      <w:pPr>
        <w:jc w:val="both"/>
        <w:rPr>
          <w:rFonts w:hint="default" w:ascii="Arial" w:hAnsi="Arial" w:cs="Arial"/>
          <w:sz w:val="24"/>
          <w:szCs w:val="24"/>
        </w:rPr>
      </w:pPr>
    </w:p>
    <w:p w14:paraId="31160901">
      <w:pPr>
        <w:jc w:val="both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</w:rPr>
        <w:t>Característica: alto nível de maturidade</w:t>
      </w:r>
      <w:r>
        <w:rPr>
          <w:rFonts w:hint="default" w:ascii="Arial" w:hAnsi="Arial" w:cs="Arial"/>
          <w:sz w:val="24"/>
          <w:szCs w:val="24"/>
          <w:lang w:val="pt-BR"/>
        </w:rPr>
        <w:t>.</w:t>
      </w:r>
    </w:p>
    <w:p w14:paraId="6E7FBB44">
      <w:pPr>
        <w:jc w:val="both"/>
        <w:rPr>
          <w:rFonts w:hint="default" w:ascii="Arial" w:hAnsi="Arial" w:cs="Arial"/>
          <w:sz w:val="24"/>
          <w:szCs w:val="24"/>
        </w:rPr>
      </w:pPr>
    </w:p>
    <w:p w14:paraId="0052E26D">
      <w:pPr>
        <w:jc w:val="both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4. ANÁLISE ESTRATÉGICA</w:t>
      </w:r>
    </w:p>
    <w:p w14:paraId="5CEC93C8">
      <w:pPr>
        <w:jc w:val="both"/>
        <w:rPr>
          <w:rFonts w:hint="default" w:ascii="Arial" w:hAnsi="Arial" w:cs="Arial"/>
          <w:sz w:val="24"/>
          <w:szCs w:val="24"/>
        </w:rPr>
      </w:pPr>
    </w:p>
    <w:p w14:paraId="4F7DA399">
      <w:pPr>
        <w:jc w:val="both"/>
        <w:rPr>
          <w:rFonts w:hint="default" w:ascii="Arial" w:hAnsi="Arial" w:cs="Arial"/>
          <w:sz w:val="24"/>
          <w:szCs w:val="24"/>
          <w:u w:val="single"/>
          <w:lang w:val="pt-BR"/>
        </w:rPr>
      </w:pPr>
      <w:r>
        <w:rPr>
          <w:rFonts w:hint="default" w:ascii="Arial" w:hAnsi="Arial" w:cs="Arial"/>
          <w:sz w:val="24"/>
          <w:szCs w:val="24"/>
          <w:u w:val="single"/>
        </w:rPr>
        <w:t>Gargalos identificados</w:t>
      </w:r>
      <w:r>
        <w:rPr>
          <w:rFonts w:hint="default" w:ascii="Arial" w:hAnsi="Arial" w:cs="Arial"/>
          <w:sz w:val="24"/>
          <w:szCs w:val="24"/>
          <w:u w:val="single"/>
          <w:lang w:val="pt-BR"/>
        </w:rPr>
        <w:t>:</w:t>
      </w:r>
    </w:p>
    <w:p w14:paraId="7D8263B8">
      <w:pPr>
        <w:jc w:val="both"/>
        <w:rPr>
          <w:rFonts w:hint="default" w:ascii="Arial" w:hAnsi="Arial" w:cs="Arial"/>
          <w:sz w:val="24"/>
          <w:szCs w:val="24"/>
        </w:rPr>
      </w:pPr>
    </w:p>
    <w:p w14:paraId="05D98CE4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</w:rPr>
        <w:t>Alto volume físico em municípios grandes</w:t>
      </w:r>
      <w:r>
        <w:rPr>
          <w:rFonts w:hint="default" w:ascii="Arial" w:hAnsi="Arial" w:cs="Arial"/>
          <w:sz w:val="24"/>
          <w:szCs w:val="24"/>
          <w:lang w:val="pt-BR"/>
        </w:rPr>
        <w:t>;</w:t>
      </w:r>
    </w:p>
    <w:p w14:paraId="6ED4B0A1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</w:rPr>
        <w:t>Resistência cultural</w:t>
      </w:r>
      <w:r>
        <w:rPr>
          <w:rFonts w:hint="default" w:ascii="Arial" w:hAnsi="Arial" w:cs="Arial"/>
          <w:sz w:val="24"/>
          <w:szCs w:val="24"/>
          <w:lang w:val="pt-BR"/>
        </w:rPr>
        <w:t>;</w:t>
      </w:r>
    </w:p>
    <w:p w14:paraId="29AFC4E4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</w:rPr>
        <w:t>Falta de uso da assinatura digital</w:t>
      </w:r>
      <w:r>
        <w:rPr>
          <w:rFonts w:hint="default" w:ascii="Arial" w:hAnsi="Arial" w:cs="Arial"/>
          <w:sz w:val="24"/>
          <w:szCs w:val="24"/>
          <w:lang w:val="pt-BR"/>
        </w:rPr>
        <w:t>;</w:t>
      </w:r>
    </w:p>
    <w:p w14:paraId="4FD3B0E1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</w:rPr>
        <w:t>Processos ainda estruturados no papel</w:t>
      </w:r>
      <w:r>
        <w:rPr>
          <w:rFonts w:hint="default" w:ascii="Arial" w:hAnsi="Arial" w:cs="Arial"/>
          <w:sz w:val="24"/>
          <w:szCs w:val="24"/>
          <w:lang w:val="pt-BR"/>
        </w:rPr>
        <w:t>;</w:t>
      </w:r>
    </w:p>
    <w:p w14:paraId="11B68EEC">
      <w:pPr>
        <w:jc w:val="both"/>
        <w:rPr>
          <w:rFonts w:hint="default" w:ascii="Arial" w:hAnsi="Arial" w:cs="Arial"/>
          <w:sz w:val="24"/>
          <w:szCs w:val="24"/>
        </w:rPr>
      </w:pPr>
    </w:p>
    <w:p w14:paraId="274EF70C">
      <w:pPr>
        <w:jc w:val="both"/>
        <w:rPr>
          <w:rFonts w:hint="default" w:ascii="Arial" w:hAnsi="Arial" w:cs="Arial"/>
          <w:sz w:val="24"/>
          <w:szCs w:val="24"/>
          <w:u w:val="single"/>
        </w:rPr>
      </w:pPr>
      <w:r>
        <w:rPr>
          <w:rFonts w:hint="default" w:ascii="Arial" w:hAnsi="Arial" w:cs="Arial"/>
          <w:sz w:val="24"/>
          <w:szCs w:val="24"/>
          <w:u w:val="single"/>
        </w:rPr>
        <w:t>Oportunidades</w:t>
      </w:r>
    </w:p>
    <w:p w14:paraId="4A45ADA7">
      <w:pPr>
        <w:jc w:val="both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</w:rPr>
        <w:t>Municípios já em transição</w:t>
      </w:r>
      <w:r>
        <w:rPr>
          <w:rFonts w:hint="default" w:ascii="Arial" w:hAnsi="Arial" w:cs="Arial"/>
          <w:sz w:val="24"/>
          <w:szCs w:val="24"/>
          <w:lang w:val="pt-BR"/>
        </w:rPr>
        <w:t>;</w:t>
      </w:r>
    </w:p>
    <w:p w14:paraId="2C00482A">
      <w:pPr>
        <w:jc w:val="both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</w:rPr>
        <w:t>Baixo esforço para avanço</w:t>
      </w:r>
      <w:r>
        <w:rPr>
          <w:rFonts w:hint="default" w:ascii="Arial" w:hAnsi="Arial" w:cs="Arial"/>
          <w:sz w:val="24"/>
          <w:szCs w:val="24"/>
          <w:lang w:val="pt-BR"/>
        </w:rPr>
        <w:t>;</w:t>
      </w:r>
    </w:p>
    <w:p w14:paraId="516C86DB">
      <w:pPr>
        <w:jc w:val="both"/>
        <w:rPr>
          <w:rFonts w:hint="default" w:ascii="Arial" w:hAnsi="Arial" w:cs="Arial"/>
          <w:sz w:val="24"/>
          <w:szCs w:val="24"/>
        </w:rPr>
      </w:pPr>
    </w:p>
    <w:p w14:paraId="1E287EAF">
      <w:pPr>
        <w:jc w:val="both"/>
        <w:rPr>
          <w:rFonts w:hint="default" w:ascii="Arial" w:hAnsi="Arial" w:cs="Arial"/>
          <w:sz w:val="24"/>
          <w:szCs w:val="24"/>
          <w:u w:val="single"/>
        </w:rPr>
      </w:pPr>
      <w:r>
        <w:rPr>
          <w:rFonts w:hint="default" w:ascii="Arial" w:hAnsi="Arial" w:cs="Arial"/>
          <w:sz w:val="24"/>
          <w:szCs w:val="24"/>
          <w:u w:val="single"/>
        </w:rPr>
        <w:t>Benchmark</w:t>
      </w:r>
    </w:p>
    <w:p w14:paraId="51DBCD98">
      <w:pPr>
        <w:jc w:val="both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</w:rPr>
        <w:t>Municípios digitais podem ser modelo</w:t>
      </w:r>
      <w:r>
        <w:rPr>
          <w:rFonts w:hint="default" w:ascii="Arial" w:hAnsi="Arial" w:cs="Arial"/>
          <w:sz w:val="24"/>
          <w:szCs w:val="24"/>
          <w:lang w:val="pt-BR"/>
        </w:rPr>
        <w:t>;</w:t>
      </w:r>
    </w:p>
    <w:p w14:paraId="374CC0A5">
      <w:pPr>
        <w:jc w:val="both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</w:rPr>
        <w:t>Possibilidade de replicação</w:t>
      </w:r>
      <w:r>
        <w:rPr>
          <w:rFonts w:hint="default" w:ascii="Arial" w:hAnsi="Arial" w:cs="Arial"/>
          <w:sz w:val="24"/>
          <w:szCs w:val="24"/>
          <w:lang w:val="pt-BR"/>
        </w:rPr>
        <w:t>;</w:t>
      </w:r>
    </w:p>
    <w:p w14:paraId="438E1F39">
      <w:pPr>
        <w:jc w:val="both"/>
        <w:rPr>
          <w:rFonts w:hint="default" w:ascii="Arial" w:hAnsi="Arial" w:cs="Arial"/>
          <w:sz w:val="24"/>
          <w:szCs w:val="24"/>
        </w:rPr>
      </w:pPr>
    </w:p>
    <w:p w14:paraId="47A7A06A">
      <w:pPr>
        <w:jc w:val="both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  <w:t>5</w:t>
      </w:r>
      <w:r>
        <w:rPr>
          <w:rFonts w:hint="default" w:ascii="Arial" w:hAnsi="Arial" w:cs="Arial"/>
          <w:b/>
          <w:bCs/>
          <w:sz w:val="24"/>
          <w:szCs w:val="24"/>
        </w:rPr>
        <w:t>. CONTEXTO LEGAL</w:t>
      </w:r>
    </w:p>
    <w:p w14:paraId="4C6F88B9">
      <w:pPr>
        <w:jc w:val="both"/>
        <w:rPr>
          <w:rFonts w:hint="default" w:ascii="Arial" w:hAnsi="Arial" w:cs="Arial"/>
          <w:sz w:val="24"/>
          <w:szCs w:val="24"/>
        </w:rPr>
      </w:pPr>
    </w:p>
    <w:p w14:paraId="02137A54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 Lei nº 14.129/2021 estabelece a necessidade de digitalização dos serviços públicos, com foco em eficiência, transparência e redução de custos.</w:t>
      </w:r>
    </w:p>
    <w:p w14:paraId="0D1E1AB9">
      <w:pPr>
        <w:jc w:val="both"/>
        <w:rPr>
          <w:rFonts w:hint="default" w:ascii="Arial" w:hAnsi="Arial" w:cs="Arial"/>
          <w:sz w:val="24"/>
          <w:szCs w:val="24"/>
        </w:rPr>
      </w:pPr>
    </w:p>
    <w:p w14:paraId="2D4C1D38">
      <w:pPr>
        <w:jc w:val="both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  <w:t>6</w:t>
      </w:r>
      <w:r>
        <w:rPr>
          <w:rFonts w:hint="default" w:ascii="Arial" w:hAnsi="Arial" w:cs="Arial"/>
          <w:b/>
          <w:bCs/>
          <w:sz w:val="24"/>
          <w:szCs w:val="24"/>
        </w:rPr>
        <w:t>. IMPACTOS DA BAIXA DIGITALIZAÇÃO</w:t>
      </w:r>
    </w:p>
    <w:p w14:paraId="6E3F9F31">
      <w:pPr>
        <w:jc w:val="both"/>
        <w:rPr>
          <w:rFonts w:hint="default" w:ascii="Arial" w:hAnsi="Arial" w:cs="Arial"/>
          <w:sz w:val="24"/>
          <w:szCs w:val="24"/>
        </w:rPr>
      </w:pPr>
    </w:p>
    <w:p w14:paraId="57E64811">
      <w:pPr>
        <w:jc w:val="both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</w:rPr>
        <w:t>Lentidão na tramitação</w:t>
      </w:r>
      <w:r>
        <w:rPr>
          <w:rFonts w:hint="default" w:ascii="Arial" w:hAnsi="Arial" w:cs="Arial"/>
          <w:sz w:val="24"/>
          <w:szCs w:val="24"/>
          <w:lang w:val="pt-BR"/>
        </w:rPr>
        <w:t>;</w:t>
      </w:r>
    </w:p>
    <w:p w14:paraId="1E9A0240">
      <w:pPr>
        <w:jc w:val="both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</w:rPr>
        <w:t>Retrabalho</w:t>
      </w:r>
      <w:r>
        <w:rPr>
          <w:rFonts w:hint="default" w:ascii="Arial" w:hAnsi="Arial" w:cs="Arial"/>
          <w:sz w:val="24"/>
          <w:szCs w:val="24"/>
          <w:lang w:val="pt-BR"/>
        </w:rPr>
        <w:t>;</w:t>
      </w:r>
    </w:p>
    <w:p w14:paraId="1D11EBBF">
      <w:pPr>
        <w:jc w:val="both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</w:rPr>
        <w:t>Custos operacionais elevados</w:t>
      </w:r>
      <w:r>
        <w:rPr>
          <w:rFonts w:hint="default" w:ascii="Arial" w:hAnsi="Arial" w:cs="Arial"/>
          <w:sz w:val="24"/>
          <w:szCs w:val="24"/>
          <w:lang w:val="pt-BR"/>
        </w:rPr>
        <w:t>;</w:t>
      </w:r>
    </w:p>
    <w:p w14:paraId="709EF7D1">
      <w:pPr>
        <w:jc w:val="both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</w:rPr>
        <w:t>Risco jurídico</w:t>
      </w:r>
      <w:r>
        <w:rPr>
          <w:rFonts w:hint="default" w:ascii="Arial" w:hAnsi="Arial" w:cs="Arial"/>
          <w:sz w:val="24"/>
          <w:szCs w:val="24"/>
          <w:lang w:val="pt-BR"/>
        </w:rPr>
        <w:t>;</w:t>
      </w:r>
    </w:p>
    <w:p w14:paraId="0DBEE0DB">
      <w:pPr>
        <w:jc w:val="both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</w:rPr>
        <w:t>Baixa transparência</w:t>
      </w:r>
      <w:r>
        <w:rPr>
          <w:rFonts w:hint="default" w:ascii="Arial" w:hAnsi="Arial" w:cs="Arial"/>
          <w:sz w:val="24"/>
          <w:szCs w:val="24"/>
          <w:lang w:val="pt-BR"/>
        </w:rPr>
        <w:t>;</w:t>
      </w:r>
    </w:p>
    <w:p w14:paraId="0B2C20B5">
      <w:pPr>
        <w:jc w:val="both"/>
        <w:rPr>
          <w:rFonts w:hint="default" w:ascii="Arial" w:hAnsi="Arial" w:cs="Arial"/>
          <w:sz w:val="24"/>
          <w:szCs w:val="24"/>
        </w:rPr>
      </w:pPr>
    </w:p>
    <w:p w14:paraId="60B31712">
      <w:pPr>
        <w:numPr>
          <w:numId w:val="0"/>
        </w:numPr>
        <w:jc w:val="both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  <w:t>7.</w:t>
      </w:r>
      <w:r>
        <w:rPr>
          <w:rFonts w:hint="default" w:ascii="Arial" w:hAnsi="Arial" w:cs="Arial"/>
          <w:b/>
          <w:bCs/>
          <w:sz w:val="24"/>
          <w:szCs w:val="24"/>
        </w:rPr>
        <w:t>PLANO DE AÇÃO</w:t>
      </w:r>
    </w:p>
    <w:p w14:paraId="657B5CA8">
      <w:pPr>
        <w:numPr>
          <w:numId w:val="0"/>
        </w:numPr>
        <w:jc w:val="both"/>
        <w:rPr>
          <w:rFonts w:hint="default" w:ascii="Arial" w:hAnsi="Arial" w:cs="Arial"/>
          <w:b/>
          <w:bCs/>
          <w:sz w:val="24"/>
          <w:szCs w:val="24"/>
        </w:rPr>
      </w:pPr>
    </w:p>
    <w:p w14:paraId="73066670">
      <w:pPr>
        <w:jc w:val="both"/>
        <w:rPr>
          <w:rFonts w:hint="default" w:ascii="Arial" w:hAnsi="Arial" w:cs="Arial"/>
          <w:sz w:val="24"/>
          <w:szCs w:val="24"/>
          <w:u w:val="single"/>
        </w:rPr>
      </w:pPr>
      <w:r>
        <w:rPr>
          <w:rFonts w:hint="default" w:ascii="Arial" w:hAnsi="Arial" w:cs="Arial"/>
          <w:sz w:val="24"/>
          <w:szCs w:val="24"/>
          <w:u w:val="single"/>
        </w:rPr>
        <w:t>CRÍTICOS</w:t>
      </w:r>
    </w:p>
    <w:p w14:paraId="00CAE155">
      <w:pPr>
        <w:jc w:val="both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</w:rPr>
        <w:t>Implantar assinatura digital</w:t>
      </w:r>
      <w:r>
        <w:rPr>
          <w:rFonts w:hint="default" w:ascii="Arial" w:hAnsi="Arial" w:cs="Arial"/>
          <w:sz w:val="24"/>
          <w:szCs w:val="24"/>
          <w:lang w:val="pt-BR"/>
        </w:rPr>
        <w:t>;</w:t>
      </w:r>
    </w:p>
    <w:p w14:paraId="762FE11D">
      <w:pPr>
        <w:jc w:val="both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</w:rPr>
        <w:t>Treinamento obrigatório</w:t>
      </w:r>
      <w:r>
        <w:rPr>
          <w:rFonts w:hint="default" w:ascii="Arial" w:hAnsi="Arial" w:cs="Arial"/>
          <w:sz w:val="24"/>
          <w:szCs w:val="24"/>
          <w:lang w:val="pt-BR"/>
        </w:rPr>
        <w:t>;</w:t>
      </w:r>
    </w:p>
    <w:p w14:paraId="5A4D3D5B">
      <w:pPr>
        <w:jc w:val="both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</w:rPr>
        <w:t>Eliminar processos físicos</w:t>
      </w:r>
      <w:r>
        <w:rPr>
          <w:rFonts w:hint="default" w:ascii="Arial" w:hAnsi="Arial" w:cs="Arial"/>
          <w:sz w:val="24"/>
          <w:szCs w:val="24"/>
          <w:lang w:val="pt-BR"/>
        </w:rPr>
        <w:t xml:space="preserve"> de forma gradual;</w:t>
      </w:r>
    </w:p>
    <w:p w14:paraId="4D8EE3DA">
      <w:pPr>
        <w:jc w:val="both"/>
        <w:rPr>
          <w:rFonts w:hint="default" w:ascii="Arial" w:hAnsi="Arial" w:cs="Arial"/>
          <w:sz w:val="24"/>
          <w:szCs w:val="24"/>
          <w:lang w:val="pt-BR"/>
        </w:rPr>
      </w:pPr>
    </w:p>
    <w:p w14:paraId="50F42F23">
      <w:pPr>
        <w:jc w:val="both"/>
        <w:rPr>
          <w:rFonts w:hint="default" w:ascii="Arial" w:hAnsi="Arial" w:cs="Arial"/>
          <w:sz w:val="24"/>
          <w:szCs w:val="24"/>
          <w:u w:val="single"/>
        </w:rPr>
      </w:pPr>
      <w:r>
        <w:rPr>
          <w:rFonts w:hint="default" w:ascii="Arial" w:hAnsi="Arial" w:cs="Arial"/>
          <w:sz w:val="24"/>
          <w:szCs w:val="24"/>
          <w:u w:val="single"/>
        </w:rPr>
        <w:t>TRANSIÇÃO</w:t>
      </w:r>
    </w:p>
    <w:p w14:paraId="6182876C">
      <w:pPr>
        <w:jc w:val="both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</w:rPr>
        <w:t>Expandir uso do digital</w:t>
      </w:r>
      <w:r>
        <w:rPr>
          <w:rFonts w:hint="default" w:ascii="Arial" w:hAnsi="Arial" w:cs="Arial"/>
          <w:sz w:val="24"/>
          <w:szCs w:val="24"/>
          <w:lang w:val="pt-BR"/>
        </w:rPr>
        <w:t>;</w:t>
      </w:r>
    </w:p>
    <w:p w14:paraId="6E905D83">
      <w:pPr>
        <w:jc w:val="both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</w:rPr>
        <w:t>Criar metas por setor</w:t>
      </w:r>
      <w:r>
        <w:rPr>
          <w:rFonts w:hint="default" w:ascii="Arial" w:hAnsi="Arial" w:cs="Arial"/>
          <w:sz w:val="24"/>
          <w:szCs w:val="24"/>
          <w:lang w:val="pt-BR"/>
        </w:rPr>
        <w:t>;</w:t>
      </w:r>
    </w:p>
    <w:p w14:paraId="2B37C68E">
      <w:pPr>
        <w:jc w:val="both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</w:rPr>
        <w:t>Monitorar evolução</w:t>
      </w:r>
      <w:r>
        <w:rPr>
          <w:rFonts w:hint="default" w:ascii="Arial" w:hAnsi="Arial" w:cs="Arial"/>
          <w:sz w:val="24"/>
          <w:szCs w:val="24"/>
          <w:lang w:val="pt-BR"/>
        </w:rPr>
        <w:t>;</w:t>
      </w:r>
    </w:p>
    <w:p w14:paraId="684D07F9">
      <w:pPr>
        <w:jc w:val="both"/>
        <w:rPr>
          <w:rFonts w:hint="default" w:ascii="Arial" w:hAnsi="Arial" w:cs="Arial"/>
          <w:sz w:val="24"/>
          <w:szCs w:val="24"/>
          <w:u w:val="single"/>
        </w:rPr>
      </w:pPr>
    </w:p>
    <w:p w14:paraId="05C245DA">
      <w:pPr>
        <w:numPr>
          <w:ilvl w:val="0"/>
          <w:numId w:val="3"/>
        </w:numPr>
        <w:ind w:left="0" w:leftChars="0" w:firstLine="0" w:firstLineChars="0"/>
        <w:jc w:val="both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  <w:t>M</w:t>
      </w:r>
      <w:r>
        <w:rPr>
          <w:rFonts w:hint="default" w:ascii="Arial" w:hAnsi="Arial" w:cs="Arial"/>
          <w:b/>
          <w:bCs/>
          <w:sz w:val="24"/>
          <w:szCs w:val="24"/>
        </w:rPr>
        <w:t>ONITORAMENTO</w:t>
      </w:r>
    </w:p>
    <w:p w14:paraId="52F717F0">
      <w:pPr>
        <w:numPr>
          <w:numId w:val="0"/>
        </w:numPr>
        <w:ind w:leftChars="0"/>
        <w:jc w:val="both"/>
        <w:rPr>
          <w:rFonts w:hint="default" w:ascii="Arial" w:hAnsi="Arial" w:cs="Arial"/>
          <w:b/>
          <w:bCs/>
          <w:sz w:val="24"/>
          <w:szCs w:val="24"/>
        </w:rPr>
      </w:pPr>
    </w:p>
    <w:p w14:paraId="50C68E5B">
      <w:pPr>
        <w:jc w:val="both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</w:rPr>
        <w:t>Atualização mensal</w:t>
      </w:r>
      <w:r>
        <w:rPr>
          <w:rFonts w:hint="default" w:ascii="Arial" w:hAnsi="Arial" w:cs="Arial"/>
          <w:sz w:val="24"/>
          <w:szCs w:val="24"/>
          <w:lang w:val="pt-BR"/>
        </w:rPr>
        <w:t>;</w:t>
      </w:r>
    </w:p>
    <w:p w14:paraId="5328062C">
      <w:pPr>
        <w:jc w:val="both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</w:rPr>
        <w:t>Uso contínuo do dashboard</w:t>
      </w:r>
      <w:r>
        <w:rPr>
          <w:rFonts w:hint="default" w:ascii="Arial" w:hAnsi="Arial" w:cs="Arial"/>
          <w:sz w:val="24"/>
          <w:szCs w:val="24"/>
          <w:lang w:val="pt-BR"/>
        </w:rPr>
        <w:t>;</w:t>
      </w:r>
    </w:p>
    <w:p w14:paraId="25050F43">
      <w:pPr>
        <w:jc w:val="both"/>
        <w:rPr>
          <w:rFonts w:hint="default" w:ascii="Arial" w:hAnsi="Arial" w:cs="Arial"/>
          <w:sz w:val="24"/>
          <w:szCs w:val="24"/>
          <w:lang w:val="pt-BR"/>
        </w:rPr>
      </w:pPr>
      <w:r>
        <w:rPr>
          <w:rFonts w:hint="default" w:ascii="Arial" w:hAnsi="Arial" w:cs="Arial"/>
          <w:sz w:val="24"/>
          <w:szCs w:val="24"/>
        </w:rPr>
        <w:t>Evolução por município</w:t>
      </w:r>
      <w:r>
        <w:rPr>
          <w:rFonts w:hint="default" w:ascii="Arial" w:hAnsi="Arial" w:cs="Arial"/>
          <w:sz w:val="24"/>
          <w:szCs w:val="24"/>
          <w:lang w:val="pt-BR"/>
        </w:rPr>
        <w:t>;</w:t>
      </w:r>
    </w:p>
    <w:p w14:paraId="7AC2890B">
      <w:pPr>
        <w:jc w:val="both"/>
        <w:rPr>
          <w:rFonts w:hint="default" w:ascii="Arial" w:hAnsi="Arial" w:cs="Arial"/>
          <w:sz w:val="24"/>
          <w:szCs w:val="24"/>
        </w:rPr>
      </w:pPr>
    </w:p>
    <w:p w14:paraId="0EA95745">
      <w:pPr>
        <w:jc w:val="both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  <w:t>9</w:t>
      </w:r>
      <w:r>
        <w:rPr>
          <w:rFonts w:hint="default" w:ascii="Arial" w:hAnsi="Arial" w:cs="Arial"/>
          <w:b/>
          <w:bCs/>
          <w:sz w:val="24"/>
          <w:szCs w:val="24"/>
        </w:rPr>
        <w:t>. CONCLUSÃO</w:t>
      </w:r>
    </w:p>
    <w:p w14:paraId="7C50A5CB">
      <w:pPr>
        <w:jc w:val="both"/>
        <w:rPr>
          <w:rFonts w:hint="default" w:ascii="Arial" w:hAnsi="Arial" w:cs="Arial"/>
          <w:sz w:val="24"/>
          <w:szCs w:val="24"/>
        </w:rPr>
      </w:pPr>
    </w:p>
    <w:p w14:paraId="027AE373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 transformação digital no setor público não é apenas tecnológica, mas estrutural e cultural.</w:t>
      </w:r>
    </w:p>
    <w:p w14:paraId="32A28516">
      <w:pPr>
        <w:jc w:val="both"/>
        <w:rPr>
          <w:rFonts w:hint="default" w:ascii="Arial" w:hAnsi="Arial" w:cs="Arial"/>
          <w:sz w:val="24"/>
          <w:szCs w:val="24"/>
        </w:rPr>
      </w:pPr>
    </w:p>
    <w:p w14:paraId="2B4664F6">
      <w:pPr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A análise demonstra que há grande oportunidade de evolução, principalmente nos municí</w:t>
      </w:r>
      <w:bookmarkStart w:id="0" w:name="_GoBack"/>
      <w:bookmarkEnd w:id="0"/>
      <w:r>
        <w:rPr>
          <w:rFonts w:hint="default" w:ascii="Arial" w:hAnsi="Arial" w:cs="Arial"/>
          <w:sz w:val="24"/>
          <w:szCs w:val="24"/>
        </w:rPr>
        <w:t>pios com alta dependência do meio físico.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3B2AE1"/>
    <w:multiLevelType w:val="singleLevel"/>
    <w:tmpl w:val="093B2AE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18EA4640"/>
    <w:multiLevelType w:val="singleLevel"/>
    <w:tmpl w:val="18EA464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3C27AD52"/>
    <w:multiLevelType w:val="singleLevel"/>
    <w:tmpl w:val="3C27AD52"/>
    <w:lvl w:ilvl="0" w:tentative="0">
      <w:start w:val="8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D97D5E"/>
    <w:rsid w:val="34D97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2026-03-23T14:40:00Z</dcterms:created>
  <dc:creator>giselle.barbosa</dc:creator>
  <cp:lastModifiedBy>giselle.barbosa</cp:lastModifiedBy>
  <dcterms:modified xsi:type="dcterms:W3CDTF">2026-03-23T14:54:59Z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BAC23397755D4D78BC09F7786CFB8365_11</vt:lpwstr>
  </property>
</Properties>
</file>