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 xml:space="preserve">
  <w:body>
    <w:p>
      <w:pPr>
        <w:pStyle w:val="Normal"/>
        <w:rPr>
          <w:rStyle w:val="Carpredefinitoparagraf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4170" cy="457200"/>
            <wp:effectExtent l="0" t="0" r="0" b="0"/>
            <wp:wrapTopAndBottom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principale"/>
      </w:pPr>
      <w:r>
        <w:rPr>
          <w:rStyle w:val="Carpredefinitoparagrafo"/>
          <w:b/>
          <w:szCs w:val="24"/>
        </w:rPr>
        <w:t>COMUNE DI SANTA MARGHERITA LIGURE</w:t>
      </w:r>
    </w:p>
    <w:p>
      <w:pPr>
        <w:pStyle w:val="Normal"/>
      </w:pPr>
      <w:r>
        <w:t>                                                                       Città Metropolitana di Genova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AREA 4 – TERRITORIO – AMBIENTE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SPORTELLO UNICO PER L'EDILIZIA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Pratica n 17-424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>                                                 </w:t>
      </w:r>
    </w:p>
    <w:p>
      <w:pPr>
        <w:pStyle w:val="Normal"/>
        <w:tabs>
          <w:tab w:val="left" w:pos="3261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Permesso di Costruire n° 1013</w:t>
      </w:r>
    </w:p>
    <w:p>
      <w:pPr>
        <w:pStyle w:val="Normal"/>
        <w:tabs>
          <w:tab w:val="left" w:pos="3261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6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6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  RESPONSABILE  PER  LO  SPORTELLO</w:t>
      </w:r>
    </w:p>
    <w:p>
      <w:pPr>
        <w:pStyle w:val="Titolo1"/>
        <w:numPr>
          <w:ilvl w:val="0"/>
          <w:numId w:val="6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UNICO  PER  L' EDILIZIA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Vista la domanda pervenuta in data 05/09/2017 con n° 30406 di protocollo 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per il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fabbricato sito VIA AURELIA 72int. da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: </w:t>
      </w:r>
    </w:p>
    <w:p>
      <w:pPr>
        <w:pStyle w:val="Normal"/>
        <w:tabs>
          <w:tab w:val="left" w:pos="3261" w:leader="none"/>
        </w:tabs>
        <w:jc w:val="both"/>
        <w:rPr>
          <w:rStyle w:val="Carpredefinitoparagrafo"/>
          <w:rFonts w:ascii="Times New Roman" w:hAnsi="Times New Roman" w:cs="Times New Roman"/>
          <w:sz w:val="22"/>
          <w:szCs w:val="24"/>
        </w:rPr>
      </w:pPr>
      <w:r/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jc w:val="left"/>
            </w:pP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>MOLFINO Roberto nato a GENOVA il 16/12/1950, C.F. MLFRRT50T16D969Y, residente a SANTA MARGHERITA LIGURE,  VIA AURELIA 72</w:t>
            </w:r>
          </w:p>
          <w:p>
            <w:pPr>
              <w:pStyle w:val="Normal"/>
              <w:tabs>
                <w:tab w:val="left" w:pos="1101" w:leader="none"/>
              </w:tabs>
              <w:ind w:left="720" w:right="0" w:hanging="0"/>
              <w:jc w:val="left"/>
            </w:pPr>
            <w:r/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jc w:val="left"/>
            </w:pP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>MOLFINO Gianluigi nato a GENOVA il 30/10/1947, C.F. MLFGLG47R30D969H, residente a GENOVA,  VIA CONI ZUGNA 14/14</w:t>
            </w:r>
          </w:p>
          <w:p>
            <w:pPr>
              <w:pStyle w:val="Normal"/>
              <w:tabs>
                <w:tab w:val="left" w:pos="1101" w:leader="none"/>
              </w:tabs>
              <w:ind w:left="720" w:right="0" w:hanging="0"/>
              <w:jc w:val="left"/>
            </w:pPr>
            <w:r/>
          </w:p>
        </w:tc>
      </w:tr>
    </w:tbl>
    <w:p>
      <w:pPr>
        <w:pStyle w:val="Normal"/>
        <w:tabs>
          <w:tab w:val="left" w:pos="3261" w:leader="none"/>
        </w:tabs>
        <w:jc w:val="both"/>
      </w:pPr>
      <w:r/>
    </w:p>
    <w:p>
      <w:pPr>
        <w:pStyle w:val="Normal"/>
        <w:tabs>
          <w:tab w:val="right" w:pos="-1418" w:leader="none"/>
        </w:tabs>
        <w:jc w:val="left"/>
        <w:rPr>
          <w:rStyle w:val="Carpredefinitoparagrafo"/>
          <w:rFonts w:ascii="Times New Roman" w:hAnsi="Times New Roman" w:cs="Arial"/>
          <w:b/>
          <w:b/>
          <w:sz w:val="24"/>
          <w:szCs w:val="24"/>
        </w:rPr>
      </w:pPr>
      <w:r/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b/>
          <w:sz w:val="22"/>
          <w:szCs w:val="24"/>
        </w:rPr>
        <w:t> 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hanno richiesto l'autorizzazione per l'esecuzione dei lavori in oggetto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per: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“Permesso di Costruire per  PER DEMOLIZIONE E RICOSTRUZIONE DI MAGAZZINO IN F 1 - M 2427 PERTINENZIALE DELL`IMMOBILE IN VIA AURELIA 72.”</w:t>
      </w:r>
    </w:p>
    <w:p>
      <w:pPr>
        <w:pStyle w:val="Normal"/>
        <w:numPr>
          <w:ilvl w:val="0"/>
          <w:numId w:val="6"/>
        </w:numPr>
        <w:tabs>
          <w:tab w:val="left" w:pos="1101" w:leader="none"/>
        </w:tabs>
        <w:spacing w:lineRule="auto" w:line="276"/>
        <w:jc w:val="center"/>
      </w:pPr>
      <w:r>
        <w:rPr>
          <w:rStyle w:val="Carpredefinitoparagrafo"/>
          <w:rFonts w:cs="Times New Roman" w:ascii="Times New Roman" w:hAnsi="Times New Roman"/>
          <w:b/>
          <w:i/>
          <w:sz w:val="22"/>
          <w:szCs w:val="24"/>
        </w:rPr>
        <w:t>ai sensi degli art. 34</w:t>
      </w:r>
      <w:r>
        <w:rPr>
          <w:rStyle w:val="Carpredefinitoparagrafo"/>
          <w:rFonts w:cs="Times New Roman" w:ascii="Times New Roman" w:hAnsi="Times New Roman"/>
          <w:b/>
          <w:bCs/>
          <w:i/>
          <w:sz w:val="22"/>
          <w:szCs w:val="24"/>
        </w:rPr>
        <w:t> e segg  delle  N.T.A.  Del P.R.G.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in Santa Margherita Ligure in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>   di VIA AURELIA 72int.</w:t>
      </w:r>
    </w:p>
    <w:p>
      <w:pPr>
        <w:pStyle w:val="Normal"/>
        <w:tabs>
          <w:tab w:val="left" w:pos="3261" w:leader="none"/>
        </w:tabs>
        <w:jc w:val="both"/>
      </w:pPr>
      <w:r/>
    </w:p>
    <w:p>
      <w:pPr>
        <w:pStyle w:val="Normal"/>
        <w:numPr>
          <w:ilvl w:val="0"/>
          <w:numId w:val="4"/>
        </w:numPr>
        <w:tabs>
          <w:tab w:val="left" w:pos="2541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DPR  222/2016 in materia edilizia;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Decreto Legislativo n° 42/04, n° 37/01 e n°13/2014 e dato atto che trattasi di area interna al vincolo paesistico imposto con D.M. 11/06/54 e successivo D.M. 24/4/85M;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Visti gli elaborati grafici di progettuali;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D.P.R. 06/2001 n° 380 e successive modifiche ed integrazioni e in particolare art.10 Comma 1 lettera c), art.14, art.22 comma 7);</w:t>
      </w:r>
    </w:p>
    <w:p>
      <w:pPr>
        <w:pStyle w:val="Normal"/>
        <w:numPr>
          <w:ilvl w:val="0"/>
          <w:numId w:val="4"/>
        </w:numPr>
        <w:tabs>
          <w:tab w:val="left" w:pos="-413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Vista la Legge Regionale n° 16/08;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Vista la L.R. N° 49/2009, come modificata dalla L.R. N° 4/2011, L.R. 22/2015 artt. 3 e s.m.i.;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l'art 62 del PRG vigente D.Pgr 965 del 13/11/95 e succ. modifiche e integrazioni;</w:t>
      </w:r>
    </w:p>
    <w:p>
      <w:pPr>
        <w:pStyle w:val="Normal"/>
        <w:numPr>
          <w:ilvl w:val="0"/>
          <w:numId w:val="4"/>
        </w:numPr>
        <w:tabs>
          <w:tab w:val="left" w:pos="210" w:leader="none"/>
          <w:tab w:val="left" w:pos="840" w:leader="none"/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Vista a la Legge Regionale n° 16/08 come modificata e integrata dalla L. Reg 15/2017;</w:t>
      </w:r>
    </w:p>
    <w:p>
      <w:pPr>
        <w:pStyle w:val="Normal"/>
        <w:numPr>
          <w:ilvl w:val="0"/>
          <w:numId w:val="4"/>
        </w:numPr>
        <w:tabs>
          <w:tab w:val="left" w:pos="210" w:leader="none"/>
          <w:tab w:val="left" w:pos="840" w:leader="none"/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Visti gli art  34 e segg  e  art 62 delle  N.T.A del PRG</w:t>
      </w:r>
    </w:p>
    <w:p>
      <w:pPr>
        <w:pStyle w:val="Normal"/>
        <w:numPr>
          <w:ilvl w:val="0"/>
          <w:numId w:val="4"/>
        </w:numPr>
        <w:tabs>
          <w:tab w:val="left" w:pos="885" w:leader="none"/>
          <w:tab w:val="left" w:pos="398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Viste gli elaborati grafici di progettuali;</w:t>
      </w:r>
    </w:p>
    <w:p>
      <w:pPr>
        <w:pStyle w:val="Normal"/>
        <w:numPr>
          <w:ilvl w:val="0"/>
          <w:numId w:val="4"/>
        </w:numPr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Considerato che il progetto risulta conforme al Piano Territoriale di Coordinamento   Paesistico approvato con Delibera del Consiglio Regionale n° 6 del 26/02/1990;</w:t>
      </w:r>
    </w:p>
    <w:p>
      <w:pPr>
        <w:pStyle w:val="Normal"/>
        <w:numPr>
          <w:ilvl w:val="0"/>
          <w:numId w:val="4"/>
        </w:numPr>
        <w:tabs>
          <w:tab w:val="left" w:pos="3403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Visto il pagamento degli oneri di concessione  e dei diritti di segreterie</w:t>
      </w:r>
    </w:p>
    <w:p>
      <w:pPr>
        <w:pStyle w:val="Normal"/>
        <w:numPr>
          <w:ilvl w:val="0"/>
          <w:numId w:val="4"/>
        </w:numPr>
        <w:tabs>
          <w:tab w:val="clear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 Vista l'autorizzazione paesaggistica n. 3055/2018;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 Visti gli atti d'Ufficio;</w:t>
      </w:r>
    </w:p>
    <w:p>
      <w:pPr>
        <w:pStyle w:val="Normal"/>
        <w:tabs>
          <w:tab w:val="left" w:pos="3261" w:leader="none"/>
        </w:tabs>
        <w:ind w:left="142" w:right="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left" w:pos="210" w:leader="none"/>
          <w:tab w:val="left" w:pos="840" w:leader="none"/>
          <w:tab w:val="left" w:pos="3261" w:leader="none"/>
        </w:tabs>
        <w:ind w:left="705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1"/>
        </w:numPr>
        <w:tabs>
          <w:tab w:val="left" w:pos="0" w:leader="none"/>
          <w:tab w:val="left" w:pos="1101" w:leader="none"/>
        </w:tabs>
        <w:spacing w:lineRule="auto" w:line="36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 I L A S C I A</w:t>
      </w:r>
    </w:p>
    <w:p>
      <w:pPr>
        <w:pStyle w:val="Titolo1"/>
        <w:numPr>
          <w:ilvl w:val="0"/>
          <w:numId w:val="7"/>
        </w:numPr>
        <w:tabs>
          <w:tab w:val="left" w:pos="-1059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“P E R M E S S O   D I   C O S T R U I R E”</w:t>
      </w:r>
    </w:p>
    <w:p>
      <w:pPr>
        <w:pStyle w:val="Normal"/>
        <w:numPr>
          <w:ilvl w:val="0"/>
          <w:numId w:val="7"/>
        </w:numPr>
        <w:tabs>
          <w:tab w:val="left" w:pos="-1059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a  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>MOLFINO Roberto, MOLFINO Gianluigi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per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: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“  PER DEMOLIZIONE E RICOSTRUZIONE DI MAGAZZINO IN F 1 - M 2427 PERTINENZIALE DELL`IMMOBILE IN VIA AURELIA 72. ”</w:t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Style w:val="Carpredefinitoparagrafo"/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in Santa Margherita Ligure del</w:t>
      </w:r>
      <w:r>
        <w:rPr>
          <w:rStyle w:val="Carpredefinitoparagrafo"/>
          <w:rFonts w:cs="Times New Roman" w:ascii="Times New Roman" w:hAnsi="Times New Roman"/>
          <w:b/>
          <w:i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b w:val="false"/>
          <w:bCs w:val="false"/>
          <w:i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>di VIA AURELIA 72int.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secondo il progetto a  firma  di:</w:t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Geom. SORACCO Gianluca iscritto GEOMETRA  della provincia di  al n°2428 con studio tecnico in VIALE RAINUSSO  1,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</w:t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salvo i diritti dei terzi e sotto l'osservanza delle disposizioni generali dei Regolamenti Comunali di  Edilizia e di Igiene, delle vigenti leggi in materia urbanistica e l'osservanza delle prescrizioni particolari e generali  sotto  riportate e/o barrate con la X:</w:t>
      </w:r>
    </w:p>
    <w:p>
      <w:pPr>
        <w:pStyle w:val="Normal"/>
        <w:tabs>
          <w:tab w:val="left" w:pos="3261" w:leader="none"/>
        </w:tabs>
        <w:jc w:val="both"/>
      </w:pPr>
      <w:r/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b/>
          <w:bCs/>
          <w:sz w:val="24"/>
          <w:szCs w:val="24"/>
        </w:rPr>
        <w:t>Prescrizioni particolari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2556" w:leader="none"/>
        </w:tabs>
        <w:jc w:val="both"/>
      </w:pP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siano scrupolosamente  osservate  le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indicazioni /i</w:t>
      </w:r>
      <w:r>
        <w:rPr>
          <w:rStyle w:val="Carpredefinitoparagrafo"/>
          <w:rFonts w:cs="Tahoma" w:ascii="Tahoma" w:hAnsi="Tahoma"/>
          <w:b/>
          <w:i/>
          <w:iCs/>
          <w:sz w:val="18"/>
          <w:szCs w:val="18"/>
          <w:u w:val="single"/>
        </w:rPr>
        <w:t>ntegrazioni/dichiarazioni  previste da parte del  progettista   e  dichiarate necessarie  e conformi alle  vigenti legislazioni edilizie  per il progetto in itinere 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  <w:u w:val="single"/>
        </w:rPr>
        <w:t>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di cui alla  richiesta   di permesso  di  costruire presentato in  data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</w:rPr>
        <w:t>12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/</w:t>
      </w:r>
      <w:r>
        <w:rPr>
          <w:rStyle w:val="Carpredefinitoparagrafo"/>
          <w:rFonts w:cs="Times New Roman" w:ascii="Times New Roman" w:hAnsi="Times New Roman"/>
          <w:b/>
          <w:i/>
          <w:iCs/>
          <w:sz w:val="24"/>
          <w:szCs w:val="24"/>
        </w:rPr>
        <w:t>03/2018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 con n° 9649 di protocollo .</w:t>
      </w:r>
    </w:p>
    <w:p>
      <w:pPr>
        <w:pStyle w:val="Normal"/>
        <w:numPr>
          <w:ilvl w:val="0"/>
          <w:numId w:val="0"/>
        </w:numPr>
        <w:tabs>
          <w:tab w:val="left" w:pos="2556" w:leader="none"/>
        </w:tabs>
        <w:ind w:left="720" w:hanging="0"/>
        <w:jc w:val="both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/>
    </w:p>
    <w:p>
      <w:pPr>
        <w:pStyle w:val="Normal"/>
        <w:numPr>
          <w:ilvl w:val="0"/>
          <w:numId w:val="3"/>
        </w:numPr>
        <w:tabs>
          <w:tab w:val="left" w:pos="3996" w:leader="none"/>
        </w:tabs>
        <w:jc w:val="both"/>
      </w:pP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Siano rispettati gli elementi grafici e progettuali previsti nella autorizzazione paesaggistica n. 3055 deln  18 Luglio 2017 , che per tali elementi fa parte   integrante e vincolante del presente provvedimento edilizio;</w:t>
      </w:r>
    </w:p>
    <w:p>
      <w:pPr>
        <w:pStyle w:val="Normal"/>
        <w:numPr>
          <w:ilvl w:val="0"/>
          <w:numId w:val="0"/>
        </w:numPr>
        <w:tabs>
          <w:tab w:val="left" w:pos="3996" w:leader="none"/>
        </w:tabs>
        <w:ind w:left="720" w:hanging="0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/>
    </w:p>
    <w:p>
      <w:pPr>
        <w:pStyle w:val="Normal"/>
        <w:numPr>
          <w:ilvl w:val="0"/>
          <w:numId w:val="3"/>
        </w:numPr>
        <w:tabs>
          <w:tab w:val="left" w:pos="3276" w:leader="none"/>
        </w:tabs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siano opportunamente valutate, analizzate e trasportate a pubblica discarica le rocce e terre da scavo derivanti dall'intervento e  non mantenute in sito;</w:t>
      </w:r>
    </w:p>
    <w:p>
      <w:pPr>
        <w:pStyle w:val="Normal"/>
        <w:numPr>
          <w:ilvl w:val="0"/>
          <w:numId w:val="0"/>
        </w:numPr>
        <w:tabs>
          <w:tab w:val="left" w:pos="3996" w:leader="none"/>
        </w:tabs>
        <w:ind w:left="720" w:hanging="0"/>
        <w:jc w:val="both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/>
    </w:p>
    <w:p>
      <w:pPr>
        <w:pStyle w:val="Normal"/>
        <w:numPr>
          <w:ilvl w:val="0"/>
          <w:numId w:val="3"/>
        </w:numPr>
        <w:tabs>
          <w:tab w:val="left" w:pos="3996" w:leader="none"/>
        </w:tabs>
        <w:jc w:val="both"/>
      </w:pP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siano</w:t>
      </w:r>
      <w:r>
        <w:rPr>
          <w:rStyle w:val="Carpredefinitoparagrafo"/>
          <w:rFonts w:cs="Times New Roman" w:ascii="Times New Roman" w:hAnsi="Times New Roman"/>
          <w:b/>
          <w:i/>
          <w:iCs/>
          <w:sz w:val="24"/>
          <w:szCs w:val="24"/>
        </w:rPr>
        <w:t>  </w:t>
      </w: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scrupolosamente  osservate  le  indicazioni  di  cui al parere  integrante del  Comando  di Polizia  Municipla ee   del 28 gennaio 2017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   </w:t>
      </w:r>
    </w:p>
    <w:p>
      <w:pPr>
        <w:pStyle w:val="Normal"/>
        <w:numPr>
          <w:ilvl w:val="0"/>
          <w:numId w:val="0"/>
        </w:numPr>
        <w:tabs>
          <w:tab w:val="left" w:pos="1821" w:leader="none"/>
        </w:tabs>
        <w:ind w:left="720" w:hanging="0"/>
        <w:jc w:val="both"/>
      </w:pPr>
      <w:r/>
    </w:p>
    <w:p>
      <w:pPr>
        <w:pStyle w:val="Normal"/>
        <w:numPr>
          <w:ilvl w:val="0"/>
          <w:numId w:val="3"/>
        </w:numPr>
        <w:tabs>
          <w:tab w:val="left" w:pos="3261" w:leader="none"/>
        </w:tabs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siano</w:t>
      </w:r>
      <w:r>
        <w:rPr>
          <w:rFonts w:cs="Times New Roman" w:ascii="Times New Roman" w:hAnsi="Times New Roman"/>
          <w:b/>
          <w:i/>
          <w:iCs/>
          <w:sz w:val="24"/>
          <w:szCs w:val="24"/>
        </w:rPr>
        <w:t> 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scrupolosamente  osservate  le  indicazioni   di cui alle  modifiche  progettuali  richieste  nel  titolo paesaggistico  e  confluite  negli elaborati  grafici a   firma  dell'Ing  Geonm Lunghi  Angelo del  12/03/2018</w:t>
      </w:r>
    </w:p>
    <w:p>
      <w:pPr>
        <w:pStyle w:val="Normal"/>
        <w:numPr>
          <w:ilvl w:val="0"/>
          <w:numId w:val="3"/>
        </w:numPr>
        <w:tabs>
          <w:tab w:val="left" w:pos="3261" w:leader="none"/>
        </w:tabs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siano  scrupolosamente  osservate  le  indicazioni   di cui all'indagine  geologica  e successiva  integrazione  presentata  a  firma dott   Andrea Ghilino </w:t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siano  scrupolosamente  osservate  le  indicazioni   di cui alla relazione agronomica a firma  della  Dott  Laura  Ragozza   del 05/07/2018 con  studio in Sestri  Levante </w:t>
      </w:r>
    </w:p>
    <w:p>
      <w:pPr>
        <w:pStyle w:val="Normal"/>
        <w:tabs>
          <w:tab w:val="left" w:pos="3261" w:leader="none"/>
        </w:tabs>
        <w:ind w:left="735" w:right="0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Prescrizioni Generali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Style w:val="Carpredefinitoparagrafo"/>
          <w:rFonts w:ascii="Times New Roman" w:hAnsi="Times New Roman" w:cs="Times New Roman"/>
          <w:sz w:val="24"/>
          <w:szCs w:val="24"/>
        </w:rPr>
      </w:pPr>
      <w:r/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I lavori dovranno essere ultimati entro mesi 36 dall'inizio.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   Il committente o il responsabile dei lavori deve trasmettere, </w:t>
      </w: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prima dell'inizio dei lavori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, la documentazione prevista dalla normativa vigente (art. 90 D.Lgs.n. 81/2008) e succ mod.  e integr. considerato che in assenza della stessa è sospesa l'efficacia del presente titolo abilitativo.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E' fatto d'obbligo al titolare del Permesso di Costruire di dare comunicazione dell'inizio dei lavori  con preavviso scritto di almeno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tre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giorni. In tale comunicazione dovrà essere precisato il nominativo del direttore dei lavori, che dovrà essere un tecnico iscritto all'Albo professionale e l'impresa esecutrice dei lavori i quali dovranno firmare  per accettazione dell'incarico.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E'  fatto   d'obbligo   apporre   all'ingresso   del   cantiere   apposito   cartellone  sul  quale,  in  esito  alla  Circolare Prefettizia  n° 5830 del 05/02/1953 occorre indicare l'oggetto dei lavori, l'intestazione della Ditta esecutrice, le generalità del progettista, del Direttore dei lavori e dell'assistente dei lavori.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n° 1086 del 05/11/1971  relativa  alle  norme  per  la disciplina delle opere in conglomerato cementizio armato, normale e precompresso ed a struttura metallica, nonché quanto previsto dal D.P.R. 6/6/2001 n° 380 e successive modifiche ed integrazioni.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dell'obbligo di progettazione antisismica ai sensi delle Norme Tecniche di Costruzione  nei Comuni in classe sismica 3, classificazione  a seguito della Delibera di Giunta Regionale n° 1362 del 19/11/2010.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09/01/1989 n° 13 e del relativo Regolamento di Attuazione, Decreto del 14/06/1989 n° 236 nonché della Legge  Regionale  n° 15  del  12/06/1989   e  successive   modificazioni in  materia  di  superamento  ed eliminazione barriere architettoniche negli edifici privati.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 05/03/90 n° 46  concernente  "Norme per la sicurezza degli impianti"  nonché del relativo regolamento di esecuzione n° 447 del 06/12/1991.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10/91 concernente "Norme per il risparmio in  materia   di rendimento energetico   negli edifici  di civile  abitazione “.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rpodeltesto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Si da infine atto che, l'eventuale accertamento di dichiarazioni non veritiere allegate alla richiesta di permesso di costruire unitamente alla mancata esecuzione delle integrazioni/dichiarazioni in essa previste da parte del progettista e dichiarate necessarie/conformi alle vigenti legislazioni edilizie e la mancata esecuzione di tutte le prescrizioni particolari e generali impartite comporterà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  <w:u w:val="single"/>
        </w:rPr>
        <w:t>l'annullabilità del titolo edilizio</w:t>
      </w: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.</w:t>
      </w:r>
    </w:p>
    <w:p>
      <w:pPr>
        <w:pStyle w:val="Corpodeltesto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Ultimato l'intervento è necessario presentare comunicazione di fine lavori allegando contestualmente certificato di collaudo finale attestante la conformità delle opere realizzate, dettagliata documentazione fotografica relativa allo stato finale delle opere e certificare la regolare esecuzione degli stessi, redatto da un tecnico abilitato, e ricevuta dell'avvenuta presentazione della variazione catastale, nel caso di interventi soggetti ad accatastamento.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 Margherita Ligure, li </w:t>
        <w:tab/>
        <w:tab/>
        <w:tab/>
        <w:t>             </w:t>
        <w:tab/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 Responsabile dello Sportello</w:t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Unico per l'Edilizia</w:t>
      </w:r>
    </w:p>
    <w:p>
      <w:pPr>
        <w:pStyle w:val="Normal"/>
        <w:tabs>
          <w:tab w:val="left" w:pos="3261" w:leader="none"/>
        </w:tabs>
        <w:ind w:left="5528" w:right="0" w:hanging="0"/>
        <w:jc w:val="center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oudy Old Style ATT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egoe U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kern w:val="2"/>
        <w:sz w:val="24"/>
        <w:szCs w:val="24"/>
        <w:lang w:val="it-IT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Goudy Old Style ATT" w:hAnsi="Goudy Old Style ATT" w:eastAsia="Times New Roman" w:cs="Goudy Old Style ATT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0"/>
      <w:sz w:val="20"/>
      <w:szCs w:val="20"/>
      <w:u w:val="none"/>
      <w:vertAlign w:val="baseline"/>
      <w:em w:val="none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jc w:val="center"/>
      <w:outlineLvl w:val="0"/>
    </w:pPr>
    <w:rPr>
      <w:b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outlineLvl w:val="1"/>
    </w:pPr>
    <w:rPr>
      <w:b/>
    </w:rPr>
  </w:style>
  <w:style w:type="character" w:styleId="Carpredefinitoparagrafo">
    <w:name w:val="Car. predefinito paragrafo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Caratterepredefinitoparagrafo">
    <w:name w:val="Carattere predefinito paragrafo"/>
    <w:qFormat/>
    <w:rPr/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Caratteridinumerazione">
    <w:name w:val="Caratteri di numerazione"/>
    <w:qFormat/>
    <w:rPr/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TestofumettoCarattere">
    <w:name w:val="Testo fumetto Carattere"/>
    <w:basedOn w:val="Carpredefinitoparagrafo"/>
    <w:qFormat/>
    <w:rPr>
      <w:rFonts w:ascii="Segoe UI" w:hAnsi="Segoe UI" w:cs="Mangal"/>
      <w:sz w:val="18"/>
      <w:szCs w:val="16"/>
    </w:rPr>
  </w:style>
  <w:style w:type="character" w:styleId="WWCharLFO3LVL1">
    <w:name w:val="WW_CharLFO3LVL1"/>
    <w:qFormat/>
    <w:rPr>
      <w:rFonts w:ascii="Symbol" w:hAnsi="Symbol" w:cs="OpenSymbol;Arial Unicode MS"/>
    </w:rPr>
  </w:style>
  <w:style w:type="character" w:styleId="WWCharLFO3LVL2">
    <w:name w:val="WW_CharLFO3LVL2"/>
    <w:qFormat/>
    <w:rPr>
      <w:rFonts w:ascii="Symbol" w:hAnsi="Symbol" w:cs="OpenSymbol;Arial Unicode MS"/>
    </w:rPr>
  </w:style>
  <w:style w:type="character" w:styleId="WWCharLFO3LVL3">
    <w:name w:val="WW_CharLFO3LVL3"/>
    <w:qFormat/>
    <w:rPr>
      <w:rFonts w:ascii="Symbol" w:hAnsi="Symbol" w:cs="OpenSymbol;Arial Unicode MS"/>
    </w:rPr>
  </w:style>
  <w:style w:type="character" w:styleId="WWCharLFO3LVL4">
    <w:name w:val="WW_CharLFO3LVL4"/>
    <w:qFormat/>
    <w:rPr>
      <w:rFonts w:ascii="Symbol" w:hAnsi="Symbol" w:cs="OpenSymbol;Arial Unicode MS"/>
    </w:rPr>
  </w:style>
  <w:style w:type="character" w:styleId="WWCharLFO3LVL5">
    <w:name w:val="WW_CharLFO3LVL5"/>
    <w:qFormat/>
    <w:rPr>
      <w:rFonts w:ascii="Symbol" w:hAnsi="Symbol" w:cs="OpenSymbol;Arial Unicode MS"/>
    </w:rPr>
  </w:style>
  <w:style w:type="character" w:styleId="WWCharLFO3LVL6">
    <w:name w:val="WW_CharLFO3LVL6"/>
    <w:qFormat/>
    <w:rPr>
      <w:rFonts w:ascii="Symbol" w:hAnsi="Symbol" w:cs="OpenSymbol;Arial Unicode MS"/>
    </w:rPr>
  </w:style>
  <w:style w:type="character" w:styleId="WWCharLFO3LVL7">
    <w:name w:val="WW_CharLFO3LVL7"/>
    <w:qFormat/>
    <w:rPr>
      <w:rFonts w:ascii="Symbol" w:hAnsi="Symbol" w:cs="OpenSymbol;Arial Unicode MS"/>
    </w:rPr>
  </w:style>
  <w:style w:type="character" w:styleId="WWCharLFO3LVL8">
    <w:name w:val="WW_CharLFO3LVL8"/>
    <w:qFormat/>
    <w:rPr>
      <w:rFonts w:ascii="Symbol" w:hAnsi="Symbol" w:cs="OpenSymbol;Arial Unicode MS"/>
    </w:rPr>
  </w:style>
  <w:style w:type="character" w:styleId="WWCharLFO3LVL9">
    <w:name w:val="WW_CharLFO3LVL9"/>
    <w:qFormat/>
    <w:rPr>
      <w:rFonts w:ascii="Symbol" w:hAnsi="Symbol" w:cs="OpenSymbol;Arial Unicode MS"/>
    </w:rPr>
  </w:style>
  <w:style w:type="character" w:styleId="WWCharLFO4LVL1">
    <w:name w:val="WW_CharLFO4LVL1"/>
    <w:qFormat/>
    <w:rPr>
      <w:rFonts w:ascii="Symbol" w:hAnsi="Symbol" w:cs="OpenSymbol;Arial Unicode MS"/>
    </w:rPr>
  </w:style>
  <w:style w:type="character" w:styleId="WWCharLFO4LVL2">
    <w:name w:val="WW_CharLFO4LVL2"/>
    <w:qFormat/>
    <w:rPr>
      <w:rFonts w:ascii="Symbol" w:hAnsi="Symbol" w:cs="OpenSymbol;Arial Unicode MS"/>
    </w:rPr>
  </w:style>
  <w:style w:type="character" w:styleId="WWCharLFO4LVL3">
    <w:name w:val="WW_CharLFO4LVL3"/>
    <w:qFormat/>
    <w:rPr>
      <w:rFonts w:ascii="Symbol" w:hAnsi="Symbol" w:cs="OpenSymbol;Arial Unicode MS"/>
    </w:rPr>
  </w:style>
  <w:style w:type="character" w:styleId="WWCharLFO4LVL4">
    <w:name w:val="WW_CharLFO4LVL4"/>
    <w:qFormat/>
    <w:rPr>
      <w:rFonts w:ascii="Symbol" w:hAnsi="Symbol" w:cs="OpenSymbol;Arial Unicode MS"/>
    </w:rPr>
  </w:style>
  <w:style w:type="character" w:styleId="WWCharLFO4LVL5">
    <w:name w:val="WW_CharLFO4LVL5"/>
    <w:qFormat/>
    <w:rPr>
      <w:rFonts w:ascii="Symbol" w:hAnsi="Symbol" w:cs="OpenSymbol;Arial Unicode MS"/>
    </w:rPr>
  </w:style>
  <w:style w:type="character" w:styleId="WWCharLFO4LVL6">
    <w:name w:val="WW_CharLFO4LVL6"/>
    <w:qFormat/>
    <w:rPr>
      <w:rFonts w:ascii="Symbol" w:hAnsi="Symbol" w:cs="OpenSymbol;Arial Unicode MS"/>
    </w:rPr>
  </w:style>
  <w:style w:type="character" w:styleId="WWCharLFO4LVL7">
    <w:name w:val="WW_CharLFO4LVL7"/>
    <w:qFormat/>
    <w:rPr>
      <w:rFonts w:ascii="Symbol" w:hAnsi="Symbol" w:cs="OpenSymbol;Arial Unicode MS"/>
    </w:rPr>
  </w:style>
  <w:style w:type="character" w:styleId="WWCharLFO4LVL8">
    <w:name w:val="WW_CharLFO4LVL8"/>
    <w:qFormat/>
    <w:rPr>
      <w:rFonts w:ascii="Symbol" w:hAnsi="Symbol" w:cs="OpenSymbol;Arial Unicode MS"/>
    </w:rPr>
  </w:style>
  <w:style w:type="character" w:styleId="WWCharLFO4LVL9">
    <w:name w:val="WW_CharLFO4LVL9"/>
    <w:qFormat/>
    <w:rPr>
      <w:rFonts w:ascii="Symbol" w:hAnsi="Symbol" w:cs="OpenSymbol;Arial Unicode MS"/>
    </w:rPr>
  </w:style>
  <w:style w:type="character" w:styleId="WWCharLFO5LVL1">
    <w:name w:val="WW_CharLFO5LVL1"/>
    <w:qFormat/>
    <w:rPr>
      <w:rFonts w:ascii="Times New Roman" w:hAnsi="Times New Roman"/>
    </w:rPr>
  </w:style>
  <w:style w:type="character" w:styleId="WWCharLFO7LVL1">
    <w:name w:val="WW_CharLFO7LVL1"/>
    <w:qFormat/>
    <w:rPr>
      <w:rFonts w:ascii="Times New Roman" w:hAnsi="Times New Roman" w:eastAsia="Times New Roman" w:cs="Times New Roman"/>
      <w:sz w:val="22"/>
    </w:rPr>
  </w:style>
  <w:style w:type="character" w:styleId="WWCharLFO7LVL2">
    <w:name w:val="WW_CharLFO7LVL2"/>
    <w:qFormat/>
    <w:rPr>
      <w:rFonts w:ascii="Courier New" w:hAnsi="Courier New" w:cs="Courier New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 w:cs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 w:cs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11LVL1">
    <w:name w:val="WW_CharLFO11LVL1"/>
    <w:qFormat/>
    <w:rPr>
      <w:rFonts w:ascii="Wingdings" w:hAnsi="Wingdings"/>
    </w:rPr>
  </w:style>
  <w:style w:type="character" w:styleId="WWCharLFO11LVL2">
    <w:name w:val="WW_CharLFO11LVL2"/>
    <w:qFormat/>
    <w:rPr>
      <w:rFonts w:ascii="Courier New" w:hAnsi="Courier New" w:cs="Courier New"/>
    </w:rPr>
  </w:style>
  <w:style w:type="character" w:styleId="WWCharLFO11LVL3">
    <w:name w:val="WW_CharLFO11LVL3"/>
    <w:qFormat/>
    <w:rPr>
      <w:rFonts w:ascii="Wingdings" w:hAnsi="Wingdings"/>
    </w:rPr>
  </w:style>
  <w:style w:type="character" w:styleId="WWCharLFO11LVL4">
    <w:name w:val="WW_CharLFO11LVL4"/>
    <w:qFormat/>
    <w:rPr>
      <w:rFonts w:ascii="Symbol" w:hAnsi="Symbol"/>
    </w:rPr>
  </w:style>
  <w:style w:type="character" w:styleId="WWCharLFO11LVL5">
    <w:name w:val="WW_CharLFO11LVL5"/>
    <w:qFormat/>
    <w:rPr>
      <w:rFonts w:ascii="Courier New" w:hAnsi="Courier New" w:cs="Courier New"/>
    </w:rPr>
  </w:style>
  <w:style w:type="character" w:styleId="WWCharLFO11LVL6">
    <w:name w:val="WW_CharLFO11LVL6"/>
    <w:qFormat/>
    <w:rPr>
      <w:rFonts w:ascii="Wingdings" w:hAnsi="Wingdings"/>
    </w:rPr>
  </w:style>
  <w:style w:type="character" w:styleId="WWCharLFO11LVL7">
    <w:name w:val="WW_CharLFO11LVL7"/>
    <w:qFormat/>
    <w:rPr>
      <w:rFonts w:ascii="Symbol" w:hAnsi="Symbol"/>
    </w:rPr>
  </w:style>
  <w:style w:type="character" w:styleId="WWCharLFO11LVL8">
    <w:name w:val="WW_CharLFO11LVL8"/>
    <w:qFormat/>
    <w:rPr>
      <w:rFonts w:ascii="Courier New" w:hAnsi="Courier New" w:cs="Courier New"/>
    </w:rPr>
  </w:style>
  <w:style w:type="character" w:styleId="WWCharLFO11LVL9">
    <w:name w:val="WW_CharLFO11LVL9"/>
    <w:qFormat/>
    <w:rPr>
      <w:rFonts w:ascii="Wingdings" w:hAnsi="Wingdings"/>
    </w:rPr>
  </w:style>
  <w:style w:type="character" w:styleId="WWCharLFO8LVL1">
    <w:name w:val="WW_CharLFO8LVL1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2">
    <w:name w:val="WW_CharLFO8LVL2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3">
    <w:name w:val="WW_CharLFO8LVL3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4">
    <w:name w:val="WW_CharLFO8LVL4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5">
    <w:name w:val="WW_CharLFO8LVL5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6">
    <w:name w:val="WW_CharLFO8LVL6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7">
    <w:name w:val="WW_CharLFO8LVL7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8">
    <w:name w:val="WW_CharLFO8LVL8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9">
    <w:name w:val="WW_CharLFO8LVL9"/>
    <w:qFormat/>
    <w:rPr>
      <w:rFonts w:ascii="OpenSymbol;Arial Unicode MS" w:hAnsi="OpenSymbol;Arial Unicode MS" w:eastAsia="OpenSymbol;Arial Unicode MS" w:cs="OpenSymbol;Arial Unicode MS"/>
    </w:rPr>
  </w:style>
  <w:style w:type="paragraph" w:styleId="Titolo">
    <w:name w:val="Titolo"/>
    <w:basedOn w:val="Normal"/>
    <w:qFormat/>
    <w:pPr>
      <w:tabs>
        <w:tab w:val="center" w:pos="4819" w:leader="none"/>
        <w:tab w:val="right" w:pos="9638" w:leader="none"/>
      </w:tabs>
      <w:suppressAutoHyphens w:val="true"/>
    </w:pPr>
    <w:rPr/>
  </w:style>
  <w:style w:type="paragraph" w:styleId="Corpodeltesto">
    <w:name w:val="Body Text"/>
    <w:basedOn w:val="Normal"/>
    <w:pPr>
      <w:suppressAutoHyphens w:val="true"/>
      <w:spacing w:before="0" w:after="120"/>
    </w:pPr>
    <w:rPr/>
  </w:style>
  <w:style w:type="paragraph" w:styleId="Normale">
    <w:name w:val="Normale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it-IT" w:eastAsia="zh-CN" w:bidi="hi-IN"/>
    </w:rPr>
  </w:style>
  <w:style w:type="paragraph" w:styleId="Elenco">
    <w:name w:val="List"/>
    <w:basedOn w:val="Corpodeltesto"/>
    <w:pPr>
      <w:suppressAutoHyphens w:val="true"/>
    </w:pPr>
    <w:rPr>
      <w:rFonts w:cs="Mangal"/>
    </w:rPr>
  </w:style>
  <w:style w:type="paragraph" w:styleId="Didascalia">
    <w:name w:val="Caption"/>
    <w:basedOn w:val="Normal"/>
    <w:qFormat/>
    <w:pPr>
      <w:suppressLineNumbers/>
      <w:suppressAutoHyphens w:val="true"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suppressAutoHyphens w:val="true"/>
    </w:pPr>
    <w:rPr>
      <w:rFonts w:cs="Mangal"/>
    </w:rPr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  <w:suppressAutoHyphens w:val="true"/>
    </w:pPr>
    <w:rPr/>
  </w:style>
  <w:style w:type="paragraph" w:styleId="Titoloprincipale">
    <w:name w:val="Title"/>
    <w:basedOn w:val="Normal"/>
    <w:next w:val="Sottotitolo"/>
    <w:qFormat/>
    <w:pPr>
      <w:suppressAutoHyphens w:val="true"/>
      <w:jc w:val="center"/>
    </w:pPr>
    <w:rPr>
      <w:rFonts w:ascii="Times New Roman" w:hAnsi="Times New Roman" w:cs="Times New Roman"/>
      <w:sz w:val="24"/>
      <w:lang w:eastAsia="it-IT"/>
    </w:rPr>
  </w:style>
  <w:style w:type="paragraph" w:styleId="Sottotitolo">
    <w:name w:val="Subtitle"/>
    <w:basedOn w:val="Normal"/>
    <w:next w:val="Corpodeltesto"/>
    <w:qFormat/>
    <w:pPr>
      <w:suppressAutoHyphens w:val="true"/>
      <w:spacing w:before="0" w:after="0"/>
      <w:ind w:left="0" w:right="0" w:firstLine="709"/>
      <w:jc w:val="center"/>
    </w:pPr>
    <w:rPr>
      <w:rFonts w:ascii="Times New Roman" w:hAnsi="Times New Roman" w:cs="Times New Roman"/>
      <w:sz w:val="28"/>
      <w:lang w:eastAsia="it-IT"/>
    </w:rPr>
  </w:style>
  <w:style w:type="paragraph" w:styleId="Rientrocorpodeltesto2">
    <w:name w:val="Rientro corpo del testo 2"/>
    <w:basedOn w:val="Normal"/>
    <w:qFormat/>
    <w:pPr>
      <w:suppressAutoHyphens w:val="true"/>
      <w:spacing w:before="0" w:after="0"/>
      <w:ind w:left="5760" w:right="0" w:hanging="0"/>
    </w:pPr>
    <w:rPr/>
  </w:style>
  <w:style w:type="paragraph" w:styleId="Rientrocorpodeltesto">
    <w:name w:val="Body Text Indent"/>
    <w:basedOn w:val="Normal"/>
    <w:pPr>
      <w:tabs>
        <w:tab w:val="left" w:pos="3261" w:leader="none"/>
      </w:tabs>
      <w:suppressAutoHyphens w:val="true"/>
      <w:spacing w:before="0" w:after="0"/>
      <w:ind w:left="142" w:right="0" w:hanging="142"/>
      <w:jc w:val="both"/>
    </w:pPr>
    <w:rPr>
      <w:lang w:eastAsia="it-IT"/>
    </w:rPr>
  </w:style>
  <w:style w:type="paragraph" w:styleId="Testofumetto">
    <w:name w:val="Testo fumetto"/>
    <w:basedOn w:val="Normale"/>
    <w:qFormat/>
    <w:pPr>
      <w:suppressAutoHyphens w:val="true"/>
    </w:pPr>
    <w:rPr>
      <w:rFonts w:ascii="Segoe UI" w:hAnsi="Segoe UI" w:cs="Mangal"/>
      <w:sz w:val="18"/>
      <w:szCs w:val="1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LibreOffice/6.0.6.2$Linux_X86_64 LibreOffice_project/00m0$Build-2</Application>
  <Pages>3</Pages>
  <Words>1022</Words>
  <Characters>6064</Characters>
  <CharactersWithSpaces>7325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2018-03-20T09:59:00Z</dcterms:created>
  <dc:creator>Francesco Falvo;OpenTBS 1.9.4</dc:creator>
  <dc:description/>
  <dc:language>it-IT</dc:language>
  <cp:lastModifiedBy/>
  <cp:lastPrinted>2018-08-13T16:31:39Z</cp:lastPrinted>
  <dcterms:modified xsi:type="dcterms:W3CDTF">2018-10-23T17:45:16Z</dcterms:modified>
  <cp:revision>12</cp:revision>
  <dc:subject/>
  <dc:title>Pratica n° 96-229						Concessione n° ___________________</dc:title>
</cp:coreProperties>
</file>