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6804" w:leader="none"/>
        </w:tabs>
        <w:ind w:left="0" w:right="-1" w:hanging="0"/>
        <w:jc w:val="center"/>
        <w:rPr>
          <w:rFonts w:cs="Tahoma" w:ascii="Book Antiqua" w:hAnsi="Book Antiqua"/>
          <w:sz w:val="10"/>
          <w:szCs w:val="10"/>
        </w:rPr>
      </w:pPr>
      <w:bookmarkStart w:id="0" w:name="_GoBack"/>
      <w:bookmarkStart w:id="1" w:name="_GoBack"/>
      <w:bookmarkEnd w:id="1"/>
      <w:r>
        <w:rPr>
          <w:rFonts w:cs="Tahoma" w:ascii="Book Antiqua" w:hAnsi="Book Antiqua"/>
          <w:sz w:val="10"/>
          <w:szCs w:val="10"/>
        </w:rPr>
      </w:r>
    </w:p>
    <w:p>
      <w:pPr>
        <w:pStyle w:val="Intestazione"/>
        <w:rPr/>
      </w:pPr>
      <w:r>
        <w:rPr/>
        <w:drawing>
          <wp:inline distT="0" distB="0" distL="0" distR="0">
            <wp:extent cx="1762125" cy="781050"/>
            <wp:effectExtent l="0" t="0" r="0" b="0"/>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2"/>
                    <a:stretch>
                      <a:fillRect/>
                    </a:stretch>
                  </pic:blipFill>
                  <pic:spPr bwMode="auto">
                    <a:xfrm>
                      <a:off x="0" y="0"/>
                      <a:ext cx="1762125" cy="781050"/>
                    </a:xfrm>
                    <a:prstGeom prst="rect">
                      <a:avLst/>
                    </a:prstGeom>
                    <a:noFill/>
                    <a:ln w="9525">
                      <a:noFill/>
                      <a:miter lim="800000"/>
                      <a:headEnd/>
                      <a:tailEnd/>
                    </a:ln>
                  </pic:spPr>
                </pic:pic>
              </a:graphicData>
            </a:graphic>
          </wp:inline>
        </w:drawing>
      </w:r>
    </w:p>
    <w:p>
      <w:pPr>
        <w:pStyle w:val="Titolo2"/>
        <w:keepNext/>
        <w:widowControl w:val="false"/>
        <w:ind w:left="0" w:right="0" w:hanging="0"/>
        <w:rPr>
          <w:rFonts w:cs="Arial" w:ascii="Arial" w:hAnsi="Arial"/>
          <w:color w:val="0000FF"/>
          <w:sz w:val="20"/>
          <w:szCs w:val="20"/>
        </w:rPr>
      </w:pPr>
      <w:r>
        <w:rPr>
          <w:rFonts w:cs="Arial" w:ascii="Arial" w:hAnsi="Arial"/>
          <w:color w:val="0000FF"/>
          <w:sz w:val="20"/>
          <w:szCs w:val="20"/>
        </w:rPr>
        <w:t>Settore Servizi alle Imprese, al Territorio e Sviluppo Sostenibile – Sportello Unico per l'Edilizia</w:t>
      </w:r>
    </w:p>
    <w:p>
      <w:pPr>
        <w:pStyle w:val="Normal"/>
        <w:widowControl w:val="false"/>
        <w:rPr>
          <w:rFonts w:cs="Arial" w:ascii="Arial" w:hAnsi="Arial"/>
          <w:b/>
          <w:i/>
          <w:color w:val="0000FF"/>
        </w:rPr>
      </w:pPr>
      <w:r>
        <w:rPr>
          <w:rFonts w:cs="Arial" w:ascii="Arial" w:hAnsi="Arial"/>
          <w:b/>
          <w:i/>
          <w:color w:val="0000FF"/>
        </w:rPr>
        <w:t>Tel 0184.580.321/3 – fax 0184.580.467 Centralino 0184.5801</w:t>
      </w:r>
    </w:p>
    <w:p>
      <w:pPr>
        <w:pStyle w:val="Normal"/>
        <w:widowControl w:val="false"/>
        <w:rPr>
          <w:rFonts w:cs="Arial" w:ascii="Arial" w:hAnsi="Arial"/>
          <w:b/>
          <w:i/>
          <w:color w:val="0000FF"/>
        </w:rPr>
      </w:pPr>
      <w:r>
        <w:rPr>
          <w:rFonts w:cs="Arial" w:ascii="Arial" w:hAnsi="Arial"/>
          <w:b/>
          <w:i/>
          <w:color w:val="0000FF"/>
        </w:rPr>
        <w:t>C.so Cavallotti 59 – 18038 Sanremo (IM)</w:t>
      </w:r>
    </w:p>
    <w:p>
      <w:pPr>
        <w:pStyle w:val="Normal"/>
        <w:widowControl w:val="false"/>
        <w:rPr>
          <w:rFonts w:cs="Arial" w:ascii="Arial" w:hAnsi="Arial"/>
          <w:b/>
          <w:i/>
          <w:color w:val="0000FF"/>
          <w:u w:val="single"/>
        </w:rPr>
      </w:pPr>
      <w:r>
        <w:rPr>
          <w:rFonts w:cs="Arial" w:ascii="Arial" w:hAnsi="Arial"/>
          <w:b/>
          <w:i/>
          <w:color w:val="0000FF"/>
        </w:rPr>
        <w:t xml:space="preserve">PEC: </w:t>
      </w:r>
      <w:r>
        <w:rPr>
          <w:rFonts w:cs="Arial" w:ascii="Arial" w:hAnsi="Arial"/>
          <w:b/>
          <w:i/>
          <w:color w:val="0000FF"/>
          <w:u w:val="single"/>
        </w:rPr>
        <w:t>sue.comune.sanremo@legalmail.it</w:t>
      </w:r>
    </w:p>
    <w:p>
      <w:pPr>
        <w:pStyle w:val="Normal"/>
        <w:tabs>
          <w:tab w:val="right" w:pos="-1418" w:leader="none"/>
        </w:tabs>
        <w:spacing w:before="120" w:after="120"/>
        <w:rPr>
          <w:rFonts w:cs="Arial" w:ascii="Arial" w:hAnsi="Arial"/>
          <w:sz w:val="22"/>
          <w:szCs w:val="22"/>
        </w:rPr>
      </w:pPr>
      <w:r>
        <w:rPr>
          <w:rFonts w:cs="Arial" w:ascii="Arial" w:hAnsi="Arial"/>
          <w:sz w:val="22"/>
          <w:szCs w:val="22"/>
        </w:rPr>
      </w:r>
    </w:p>
    <w:p>
      <w:pPr>
        <w:pStyle w:val="Normal"/>
        <w:tabs>
          <w:tab w:val="right" w:pos="-1418" w:leader="none"/>
        </w:tabs>
        <w:spacing w:before="120" w:after="120"/>
        <w:rPr>
          <w:rFonts w:cs="Arial" w:ascii="Arial" w:hAnsi="Arial"/>
          <w:sz w:val="22"/>
          <w:szCs w:val="22"/>
        </w:rPr>
      </w:pPr>
      <w:r>
        <w:rPr>
          <w:rFonts w:cs="Arial" w:ascii="Arial" w:hAnsi="Arial"/>
          <w:sz w:val="22"/>
          <w:szCs w:val="22"/>
        </w:rPr>
        <w:t>Prot. [protocollo]</w:t>
      </w:r>
      <w:r>
        <w:rPr>
          <w:rFonts w:cs="Arial" w:ascii="Arial" w:hAnsi="Arial"/>
          <w:sz w:val="22"/>
          <w:szCs w:val="22"/>
        </w:rPr>
        <w:t>NUMERO_PROT..</w:t>
      </w:r>
      <w:r>
        <w:rPr>
          <w:rFonts w:cs="Arial" w:ascii="Arial" w:hAnsi="Arial"/>
          <w:sz w:val="22"/>
          <w:szCs w:val="22"/>
        </w:rPr>
        <w:t xml:space="preserve"> del [data_protocollo]</w:t>
      </w:r>
    </w:p>
    <w:tbl>
      <w:tblPr>
        <w:tblW w:w="10101"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050"/>
        <w:gridCol w:w="5050"/>
      </w:tblGrid>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b/>
                <w:sz w:val="22"/>
                <w:szCs w:val="22"/>
              </w:rPr>
            </w:pPr>
            <w:r>
              <w:rPr>
                <w:rFonts w:cs="Arial" w:ascii="Arial" w:hAnsi="Arial"/>
                <w:b/>
                <w:sz w:val="22"/>
                <w:szCs w:val="22"/>
              </w:rPr>
              <w:t>[richiedent</w:t>
            </w:r>
            <w:r>
              <w:rPr>
                <w:rFonts w:cs="Arial" w:ascii="Arial" w:hAnsi="Arial"/>
                <w:b/>
                <w:sz w:val="22"/>
                <w:szCs w:val="22"/>
              </w:rPr>
              <w:t>i</w:t>
            </w:r>
            <w:r>
              <w:rPr>
                <w:rFonts w:cs="Arial" w:ascii="Arial" w:hAnsi="Arial"/>
                <w:b/>
                <w:sz w:val="22"/>
                <w:szCs w:val="22"/>
              </w:rPr>
              <w:t>.nominativo;block=w:tr]</w:t>
            </w:r>
          </w:p>
          <w:p>
            <w:pPr>
              <w:pStyle w:val="Normal"/>
              <w:tabs>
                <w:tab w:val="right" w:pos="-1418" w:leader="none"/>
              </w:tabs>
              <w:rPr>
                <w:rFonts w:cs="Arial" w:ascii="Arial" w:hAnsi="Arial"/>
                <w:i/>
                <w:sz w:val="22"/>
                <w:szCs w:val="22"/>
                <w:u w:val="single"/>
              </w:rPr>
            </w:pPr>
            <w:r>
              <w:rPr>
                <w:rFonts w:cs="Arial" w:ascii="Arial" w:hAnsi="Arial"/>
                <w:i/>
                <w:sz w:val="22"/>
                <w:szCs w:val="22"/>
                <w:u w:val="single"/>
              </w:rPr>
              <w:t>[richiedent</w:t>
            </w:r>
            <w:r>
              <w:rPr>
                <w:rFonts w:cs="Arial" w:ascii="Arial" w:hAnsi="Arial"/>
                <w:i/>
                <w:sz w:val="22"/>
                <w:szCs w:val="22"/>
                <w:u w:val="single"/>
              </w:rPr>
              <w:t>i</w:t>
            </w:r>
            <w:r>
              <w:rPr>
                <w:rFonts w:cs="Arial" w:ascii="Arial" w:hAnsi="Arial"/>
                <w:i/>
                <w:sz w:val="22"/>
                <w:szCs w:val="22"/>
                <w:u w:val="single"/>
              </w:rPr>
              <w:t>.pec]</w:t>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t>c/o</w:t>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b/>
                <w:sz w:val="22"/>
                <w:szCs w:val="22"/>
              </w:rPr>
            </w:pPr>
            <w:r>
              <w:rPr>
                <w:rFonts w:cs="Arial" w:ascii="Arial" w:hAnsi="Arial"/>
                <w:b/>
                <w:sz w:val="22"/>
                <w:szCs w:val="22"/>
              </w:rPr>
              <w:t>[progettist</w:t>
            </w:r>
            <w:r>
              <w:rPr>
                <w:rFonts w:cs="Arial" w:ascii="Arial" w:hAnsi="Arial"/>
                <w:b/>
                <w:sz w:val="22"/>
                <w:szCs w:val="22"/>
              </w:rPr>
              <w:t>i</w:t>
            </w:r>
            <w:r>
              <w:rPr>
                <w:rFonts w:cs="Arial" w:ascii="Arial" w:hAnsi="Arial"/>
                <w:b/>
                <w:sz w:val="22"/>
                <w:szCs w:val="22"/>
              </w:rPr>
              <w:t>.nominativo;block=w:tr]</w:t>
            </w:r>
          </w:p>
          <w:p>
            <w:pPr>
              <w:pStyle w:val="Normal"/>
              <w:tabs>
                <w:tab w:val="right" w:pos="-1418" w:leader="none"/>
              </w:tabs>
              <w:rPr>
                <w:rFonts w:cs="Arial" w:ascii="Arial" w:hAnsi="Arial"/>
                <w:i/>
                <w:sz w:val="22"/>
                <w:szCs w:val="22"/>
                <w:u w:val="single"/>
              </w:rPr>
            </w:pPr>
            <w:r>
              <w:rPr>
                <w:rFonts w:cs="Arial" w:ascii="Arial" w:hAnsi="Arial"/>
                <w:i/>
                <w:sz w:val="22"/>
                <w:szCs w:val="22"/>
                <w:u w:val="single"/>
              </w:rPr>
              <w:t>[progettist</w:t>
            </w:r>
            <w:r>
              <w:rPr>
                <w:rFonts w:cs="Arial" w:ascii="Arial" w:hAnsi="Arial"/>
                <w:i/>
                <w:sz w:val="22"/>
                <w:szCs w:val="22"/>
                <w:u w:val="single"/>
              </w:rPr>
              <w:t>i</w:t>
            </w:r>
            <w:r>
              <w:rPr>
                <w:rFonts w:cs="Arial" w:ascii="Arial" w:hAnsi="Arial"/>
                <w:i/>
                <w:sz w:val="22"/>
                <w:szCs w:val="22"/>
                <w:u w:val="single"/>
              </w:rPr>
              <w:t>.pec]</w:t>
            </w:r>
          </w:p>
        </w:tc>
      </w:tr>
    </w:tbl>
    <w:p>
      <w:pPr>
        <w:pStyle w:val="Normal"/>
        <w:jc w:val="center"/>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jc w:val="both"/>
        <w:rPr>
          <w:i/>
          <w:u w:val="single"/>
        </w:rPr>
      </w:pPr>
      <w:r>
        <w:rPr>
          <w:rFonts w:cs="Arial" w:ascii="Arial" w:hAnsi="Arial"/>
          <w:b/>
          <w:sz w:val="22"/>
          <w:szCs w:val="22"/>
        </w:rPr>
        <w:t>OGGETTO:</w:t>
      </w:r>
      <w:r>
        <w:rPr>
          <w:rFonts w:cs="Arial" w:ascii="Arial" w:hAnsi="Arial"/>
          <w:sz w:val="22"/>
          <w:szCs w:val="22"/>
        </w:rPr>
        <w:t xml:space="preserve"> [tipo_pratica] n. </w:t>
      </w:r>
      <w:r>
        <w:rPr>
          <w:rFonts w:cs="Arial" w:ascii="Arial" w:hAnsi="Arial"/>
          <w:b/>
          <w:sz w:val="22"/>
          <w:szCs w:val="22"/>
        </w:rPr>
        <w:t>[numero]</w:t>
      </w:r>
      <w:r>
        <w:rPr>
          <w:rFonts w:cs="Arial" w:ascii="Arial" w:hAnsi="Arial"/>
          <w:b/>
          <w:sz w:val="22"/>
          <w:szCs w:val="22"/>
        </w:rPr>
        <w:t>NUMERO_PRATICA..</w:t>
      </w:r>
      <w:r>
        <w:rPr>
          <w:rFonts w:cs="Arial" w:ascii="Arial" w:hAnsi="Arial"/>
          <w:sz w:val="22"/>
          <w:szCs w:val="22"/>
        </w:rPr>
        <w:t xml:space="preserve"> </w:t>
      </w:r>
      <w:r>
        <w:rPr>
          <w:rFonts w:cs="Arial" w:ascii="Arial" w:hAnsi="Arial"/>
          <w:sz w:val="18"/>
          <w:szCs w:val="22"/>
        </w:rPr>
        <w:t xml:space="preserve">(da citare nella risposta) </w:t>
      </w:r>
      <w:r>
        <w:rPr>
          <w:rFonts w:cs="Arial" w:ascii="Arial" w:hAnsi="Arial"/>
          <w:sz w:val="22"/>
          <w:szCs w:val="22"/>
        </w:rPr>
        <w:t>- Opere: [oggetto]</w:t>
      </w:r>
      <w:r>
        <w:rPr>
          <w:rFonts w:cs="Arial" w:ascii="Arial" w:hAnsi="Arial"/>
          <w:sz w:val="22"/>
          <w:szCs w:val="22"/>
        </w:rPr>
        <w:t>OGGETTO..</w:t>
      </w:r>
      <w:r>
        <w:rPr>
          <w:rFonts w:cs="Arial" w:ascii="Arial" w:hAnsi="Arial"/>
          <w:sz w:val="22"/>
          <w:szCs w:val="22"/>
        </w:rPr>
        <w:t xml:space="preserve"> in [ubicazione] –</w:t>
      </w:r>
      <w:r>
        <w:rPr>
          <w:rFonts w:cs="Arial" w:ascii="Arial" w:hAnsi="Arial"/>
          <w:bCs/>
          <w:sz w:val="22"/>
          <w:szCs w:val="22"/>
        </w:rPr>
        <w:t xml:space="preserve"> censito a catasto: [elenco_ct]. </w:t>
      </w:r>
      <w:r>
        <w:rPr>
          <w:rFonts w:cs="Arial" w:ascii="Arial" w:hAnsi="Arial"/>
          <w:i/>
          <w:sz w:val="22"/>
          <w:szCs w:val="22"/>
          <w:u w:val="single"/>
        </w:rPr>
        <w:t>Ricevuta avvenuta presentazione ex art. 18-bis, legge n. 241/1990</w:t>
      </w:r>
      <w:r>
        <w:rPr>
          <w:i/>
          <w:u w:val="single"/>
        </w:rPr>
        <w:t>.</w:t>
      </w:r>
    </w:p>
    <w:p>
      <w:pPr>
        <w:pStyle w:val="Normal"/>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tabs>
          <w:tab w:val="left" w:pos="5670" w:leader="none"/>
        </w:tabs>
        <w:ind w:left="0" w:right="479" w:hanging="0"/>
        <w:jc w:val="both"/>
        <w:rPr>
          <w:rFonts w:cs="Arial" w:ascii="Arial" w:hAnsi="Arial"/>
          <w:bCs/>
          <w:sz w:val="10"/>
          <w:szCs w:val="10"/>
        </w:rPr>
      </w:pPr>
      <w:r>
        <w:rPr>
          <w:rFonts w:cs="Arial" w:ascii="Arial" w:hAnsi="Arial"/>
          <w:bCs/>
          <w:sz w:val="10"/>
          <w:szCs w:val="10"/>
        </w:rPr>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t xml:space="preserve">Lo Sportello Unico Edilizia,  ai sensi dell’art. 18-bis della legge n. 241/1990; </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Fonts w:cs="Arial" w:ascii="Arial" w:hAnsi="Arial"/>
          <w:color w:val="000000"/>
          <w:sz w:val="22"/>
          <w:szCs w:val="22"/>
        </w:rPr>
      </w:pPr>
      <w:r>
        <w:rPr>
          <w:rFonts w:cs="Arial" w:ascii="Arial" w:hAnsi="Arial"/>
          <w:color w:val="000000"/>
          <w:sz w:val="22"/>
          <w:szCs w:val="22"/>
        </w:rPr>
        <w:t xml:space="preserve">tenuto conto che il DPR 380/2001 e ss.mm.ii.  individua lo scrivente Servizio come competente in merito alla Segnalazione in oggetto; </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center"/>
        <w:rPr>
          <w:rFonts w:cs="Arial" w:ascii="Arial" w:hAnsi="Arial"/>
          <w:b/>
          <w:color w:val="000000"/>
          <w:sz w:val="22"/>
          <w:szCs w:val="22"/>
        </w:rPr>
      </w:pPr>
      <w:r>
        <w:rPr>
          <w:rFonts w:cs="Arial" w:ascii="Arial" w:hAnsi="Arial"/>
          <w:b/>
          <w:color w:val="000000"/>
          <w:sz w:val="22"/>
          <w:szCs w:val="22"/>
        </w:rPr>
        <w:t>ATTESTA</w:t>
      </w:r>
    </w:p>
    <w:p>
      <w:pPr>
        <w:pStyle w:val="Normal"/>
        <w:jc w:val="center"/>
        <w:rPr>
          <w:rFonts w:cs="Arial" w:ascii="Arial" w:hAnsi="Arial"/>
          <w:color w:val="000000"/>
          <w:sz w:val="22"/>
          <w:szCs w:val="22"/>
        </w:rPr>
      </w:pPr>
      <w:r>
        <w:rPr>
          <w:rFonts w:cs="Arial" w:ascii="Arial" w:hAnsi="Arial"/>
          <w:color w:val="000000"/>
          <w:sz w:val="22"/>
          <w:szCs w:val="22"/>
        </w:rPr>
      </w:r>
    </w:p>
    <w:p>
      <w:pPr>
        <w:pStyle w:val="Normal"/>
        <w:tabs>
          <w:tab w:val="right" w:pos="-1418" w:leader="none"/>
        </w:tabs>
        <w:rPr>
          <w:rFonts w:cs="Arial" w:ascii="Arial" w:hAnsi="Arial"/>
          <w:color w:val="000000"/>
          <w:sz w:val="22"/>
          <w:szCs w:val="22"/>
        </w:rPr>
      </w:pPr>
      <w:r>
        <w:rPr>
          <w:rFonts w:cs="Arial" w:ascii="Arial" w:hAnsi="Arial"/>
          <w:color w:val="000000"/>
          <w:sz w:val="22"/>
          <w:szCs w:val="22"/>
        </w:rPr>
        <w:t xml:space="preserve">l’avvenuta presentazione di detta Segnalazione, da parte del Sig. </w:t>
      </w:r>
      <w:r>
        <w:rPr>
          <w:rFonts w:cs="Arial" w:ascii="Arial" w:hAnsi="Arial"/>
          <w:b/>
          <w:sz w:val="22"/>
          <w:szCs w:val="22"/>
        </w:rPr>
        <w:t>[</w:t>
      </w:r>
      <w:r>
        <w:rPr>
          <w:rFonts w:cs="Arial" w:ascii="Arial" w:hAnsi="Arial"/>
          <w:b/>
          <w:sz w:val="22"/>
          <w:szCs w:val="22"/>
        </w:rPr>
        <w:t>elenco_richiedenti</w:t>
      </w:r>
      <w:r>
        <w:rPr>
          <w:rFonts w:cs="Arial" w:ascii="Arial" w:hAnsi="Arial"/>
          <w:b/>
          <w:sz w:val="22"/>
          <w:szCs w:val="22"/>
        </w:rPr>
        <w:t>]</w:t>
      </w:r>
      <w:r>
        <w:rPr>
          <w:rFonts w:cs="Arial" w:ascii="Arial" w:hAnsi="Arial"/>
          <w:color w:val="000000"/>
          <w:sz w:val="22"/>
          <w:szCs w:val="22"/>
        </w:rPr>
        <w:t xml:space="preserve">, in data </w:t>
      </w:r>
      <w:r>
        <w:rPr>
          <w:rFonts w:cs="Arial" w:ascii="Arial" w:hAnsi="Arial"/>
          <w:sz w:val="22"/>
          <w:szCs w:val="22"/>
        </w:rPr>
        <w:t>[data_protocollo]</w:t>
      </w:r>
      <w:r>
        <w:rPr>
          <w:rFonts w:cs="Arial" w:ascii="Arial" w:hAnsi="Arial"/>
          <w:color w:val="000000"/>
          <w:sz w:val="22"/>
          <w:szCs w:val="22"/>
        </w:rPr>
        <w:t xml:space="preserve">, prot. </w:t>
      </w:r>
      <w:r>
        <w:rPr>
          <w:rFonts w:cs="Arial" w:ascii="Arial" w:hAnsi="Arial"/>
          <w:sz w:val="22"/>
          <w:szCs w:val="22"/>
        </w:rPr>
        <w:t>[protocollo]</w:t>
      </w:r>
      <w:r>
        <w:rPr>
          <w:rFonts w:cs="Arial" w:ascii="Arial" w:hAnsi="Arial"/>
          <w:color w:val="000000"/>
          <w:sz w:val="22"/>
          <w:szCs w:val="22"/>
        </w:rPr>
        <w:t>;</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Fonts w:cs="Arial" w:ascii="Arial" w:hAnsi="Arial"/>
          <w:color w:val="000000"/>
          <w:sz w:val="22"/>
          <w:szCs w:val="22"/>
        </w:rPr>
      </w:pPr>
      <w:r>
        <w:rPr>
          <w:rFonts w:cs="Arial" w:ascii="Arial" w:hAnsi="Arial"/>
          <w:color w:val="000000"/>
          <w:sz w:val="22"/>
          <w:szCs w:val="22"/>
        </w:rPr>
        <w:t xml:space="preserve">e conseguentemente COMUNICA che entro il termine di 30 giorni questo Servizio è tenuto a effettuare i controlli sulla sussistenza dei requisiti e dei presupposti richiesti  per lo svolgimento dell’attività di cui all’oggetto, ovvero scaduto il termine suddetto senza che questo Ufficio si sia attivato, l’istanza si intenderà accolta. </w:t>
      </w:r>
    </w:p>
    <w:p>
      <w:pPr>
        <w:pStyle w:val="Normal"/>
        <w:jc w:val="both"/>
        <w:rPr>
          <w:rFonts w:cs="Arial" w:ascii="Arial" w:hAnsi="Arial"/>
          <w:color w:val="000000"/>
          <w:sz w:val="22"/>
          <w:szCs w:val="22"/>
        </w:rPr>
      </w:pPr>
      <w:r>
        <w:rPr>
          <w:rFonts w:cs="Arial" w:ascii="Arial" w:hAnsi="Arial"/>
          <w:color w:val="000000"/>
          <w:sz w:val="22"/>
          <w:szCs w:val="22"/>
        </w:rPr>
        <w:t xml:space="preserve">Qualora venga accertata la carenza di requisiti o l’infondatezza/irricevibilità della Segnalazione, questa Amministrazione potrà vietare la prosecuzione dell’attività o richiedere all’interessato di conformare le attività alla normativa vigente. </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Style w:val="CollegamentoInternet"/>
          <w:rFonts w:cs="Arial" w:ascii="Arial" w:hAnsi="Arial"/>
          <w:color w:val="000000"/>
          <w:sz w:val="22"/>
          <w:szCs w:val="22"/>
        </w:rPr>
      </w:pPr>
      <w:r>
        <w:rPr>
          <w:rFonts w:cs="Arial" w:ascii="Arial" w:hAnsi="Arial"/>
          <w:color w:val="000000"/>
          <w:sz w:val="22"/>
          <w:szCs w:val="22"/>
        </w:rPr>
        <w:t>Decorso il termine per l'adozione dei provvedimenti di cui all’art. 19  comma 3 della L. 241/1990 e ss.mm., primo periodo, ovvero di cui al comma 6-bis, l'amministrazione competente potrà comunque adottare i provvedimenti previsti dal medesimo comma 3 in presenza delle condizioni previste dall'</w:t>
      </w:r>
      <w:r>
        <w:fldChar w:fldCharType="begin"/>
      </w:r>
      <w:r>
        <w:instrText> HYPERLINK "http://www.bosettiegatti.eu/info/norme/statali/1990_0241.htm" \l "21-nonies"</w:instrText>
      </w:r>
      <w:r>
        <w:fldChar w:fldCharType="separate"/>
      </w:r>
      <w:r>
        <w:rPr>
          <w:rStyle w:val="CollegamentoInternet"/>
          <w:rFonts w:cs="Arial" w:ascii="Arial" w:hAnsi="Arial"/>
          <w:color w:val="000000"/>
          <w:sz w:val="22"/>
          <w:szCs w:val="22"/>
        </w:rPr>
        <w:t>articolo 21-nonies (Annullamento d’ufficio).</w:t>
      </w:r>
      <w:r>
        <w:fldChar w:fldCharType="end"/>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t>Ai sensi dell’art. 39 ter della L.R. 16/2008 e ss.mm.e ii, le Segnalazioni per l’attestazione dell’agibilità degli edifici sono sottoposte a controllo a campione, con cadenza almeno annuale, nella percentuale minima del 30 per cento delle pratiche presentate da individuare mediante preventivo sorteggio. In caso di sorteggio della presente Segnalazione Certificata di Agibilità, il responsabile dello SUE, entro il termine perentorio di dieci giorni lavorativi dall’effettuazione del sorteggio, comunicherà all’interessato la sottoposizione a controllo da effettuarsi nel termine di sessanta giorni decorrenti dalla data di comunicazione.</w:t>
      </w:r>
    </w:p>
    <w:p>
      <w:pPr>
        <w:pStyle w:val="Normal"/>
        <w:jc w:val="both"/>
        <w:rPr/>
      </w:pPr>
      <w:r>
        <w:rPr/>
      </w:r>
    </w:p>
    <w:p>
      <w:pPr>
        <w:pStyle w:val="Normal"/>
        <w:ind w:left="0" w:right="0" w:firstLine="709"/>
        <w:jc w:val="both"/>
        <w:rPr>
          <w:rFonts w:cs="Arial" w:ascii="Arial" w:hAnsi="Arial"/>
          <w:color w:val="000000"/>
          <w:sz w:val="22"/>
          <w:szCs w:val="22"/>
        </w:rPr>
      </w:pPr>
      <w:r>
        <w:rPr>
          <w:rFonts w:cs="Arial" w:ascii="Arial" w:hAnsi="Arial"/>
          <w:color w:val="000000"/>
          <w:sz w:val="22"/>
          <w:szCs w:val="22"/>
        </w:rPr>
        <w:t>Distinti saluti.</w:t>
      </w:r>
    </w:p>
    <w:p>
      <w:pPr>
        <w:pStyle w:val="Normal"/>
        <w:ind w:left="0" w:right="0" w:firstLine="567"/>
        <w:jc w:val="both"/>
        <w:rPr>
          <w:rFonts w:cs="Arial" w:ascii="Arial" w:hAnsi="Arial"/>
          <w:sz w:val="10"/>
          <w:szCs w:val="10"/>
        </w:rPr>
      </w:pPr>
      <w:r>
        <w:rPr>
          <w:rFonts w:cs="Arial" w:ascii="Arial" w:hAnsi="Arial"/>
          <w:sz w:val="10"/>
          <w:szCs w:val="10"/>
        </w:rPr>
      </w:r>
    </w:p>
    <w:p>
      <w:pPr>
        <w:pStyle w:val="Normal"/>
        <w:ind w:left="709" w:right="0" w:firstLine="709"/>
        <w:jc w:val="both"/>
        <w:rPr>
          <w:rFonts w:cs="Arial" w:ascii="Arial" w:hAnsi="Arial"/>
          <w:i/>
          <w:sz w:val="22"/>
          <w:szCs w:val="22"/>
        </w:rPr>
      </w:pPr>
      <w:r>
        <w:rPr>
          <w:rFonts w:cs="Arial" w:ascii="Arial" w:hAnsi="Arial"/>
          <w:i/>
          <w:sz w:val="22"/>
          <w:szCs w:val="22"/>
        </w:rPr>
        <w:t>Sanremo, 14 settembre 2017</w:t>
      </w:r>
    </w:p>
    <w:p>
      <w:pPr>
        <w:pStyle w:val="Normal"/>
        <w:ind w:left="2835" w:right="0" w:firstLine="2835"/>
        <w:jc w:val="center"/>
        <w:rPr>
          <w:rFonts w:cs="Arial" w:ascii="Arial" w:hAnsi="Arial"/>
          <w:b/>
          <w:sz w:val="22"/>
          <w:szCs w:val="22"/>
        </w:rPr>
      </w:pPr>
      <w:r>
        <w:rPr>
          <w:rFonts w:cs="Arial" w:ascii="Arial" w:hAnsi="Arial"/>
          <w:b/>
          <w:sz w:val="22"/>
          <w:szCs w:val="22"/>
        </w:rPr>
        <w:t>IL DIRIGENTE DEL SETTORE TERRITORIO</w:t>
      </w:r>
    </w:p>
    <w:p>
      <w:pPr>
        <w:pStyle w:val="Normal"/>
        <w:tabs>
          <w:tab w:val="left" w:pos="5058" w:leader="none"/>
        </w:tabs>
        <w:ind w:left="2835" w:right="0" w:firstLine="2835"/>
        <w:jc w:val="center"/>
        <w:rPr>
          <w:rFonts w:cs="Arial" w:ascii="Arial" w:hAnsi="Arial"/>
          <w:i/>
          <w:sz w:val="22"/>
          <w:szCs w:val="22"/>
        </w:rPr>
      </w:pPr>
      <w:r>
        <w:rPr>
          <w:rFonts w:cs="Arial" w:ascii="Arial" w:hAnsi="Arial"/>
          <w:i/>
          <w:sz w:val="22"/>
          <w:szCs w:val="22"/>
        </w:rPr>
        <w:t>[dirigente]</w:t>
      </w:r>
    </w:p>
    <w:p>
      <w:pPr>
        <w:pStyle w:val="Normal"/>
        <w:tabs>
          <w:tab w:val="left" w:pos="5058" w:leader="none"/>
        </w:tabs>
        <w:ind w:left="2835" w:right="0" w:firstLine="2835"/>
        <w:jc w:val="center"/>
        <w:rPr>
          <w:rFonts w:cs="Arial" w:ascii="Arial" w:hAnsi="Arial"/>
          <w:i/>
          <w:szCs w:val="22"/>
        </w:rPr>
      </w:pPr>
      <w:r>
        <w:rPr>
          <w:rFonts w:cs="Arial" w:ascii="Arial" w:hAnsi="Arial"/>
          <w:i/>
          <w:szCs w:val="22"/>
        </w:rPr>
        <w:t>(Firmato digitalmente)</w:t>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r>
    </w:p>
    <w:p>
      <w:pPr>
        <w:pStyle w:val="Normal"/>
        <w:tabs>
          <w:tab w:val="left" w:pos="5058" w:leader="none"/>
        </w:tabs>
        <w:rPr/>
      </w:pPr>
      <w:r>
        <w:rPr/>
      </w:r>
    </w:p>
    <w:sectPr>
      <w:footerReference w:type="default" r:id="rId3"/>
      <w:type w:val="nextPage"/>
      <w:pgSz w:w="11906" w:h="16838"/>
      <w:pgMar w:left="851" w:right="851" w:header="0" w:top="964" w:footer="851" w:bottom="1021"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man Old Style">
    <w:charset w:val="01"/>
    <w:family w:val="roman"/>
    <w:pitch w:val="variable"/>
  </w:font>
  <w:font w:name="Tahoma">
    <w:charset w:val="01"/>
    <w:family w:val="roman"/>
    <w:pitch w:val="variable"/>
  </w:font>
  <w:font w:name="Book Antiqua">
    <w:charset w:val="01"/>
    <w:family w:val="roman"/>
    <w:pitch w:val="variable"/>
  </w:font>
  <w:font w:name="Arial">
    <w:charset w:val="01"/>
    <w:family w:val="roman"/>
    <w:pitch w:val="variable"/>
  </w:font>
  <w:font w:name="Tw Cen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pBdr>
        <w:top w:val="single" w:sz="6" w:space="0" w:color="00000A"/>
        <w:left w:val="nil"/>
        <w:bottom w:val="nil"/>
        <w:right w:val="nil"/>
      </w:pBdr>
      <w:rPr>
        <w:rFonts w:ascii="Tw Cen MT" w:hAnsi="Tw Cen MT"/>
        <w:sz w:val="14"/>
      </w:rPr>
    </w:pPr>
    <w:r>
      <w:rPr>
        <w:rFonts w:ascii="Tw Cen MT" w:hAnsi="Tw Cen MT"/>
        <w:sz w:val="14"/>
      </w:rPr>
    </w:r>
  </w:p>
  <w:p>
    <w:pPr>
      <w:pStyle w:val="Pidipagina"/>
      <w:rPr/>
    </w:pPr>
    <w:r>
      <w:rPr/>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b47161"/>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paragraph" w:styleId="Titolo2">
    <w:name w:val="Titolo 2"/>
    <w:qFormat/>
    <w:link w:val="Titolo2Carattere"/>
    <w:rsid w:val="00fd4603"/>
    <w:basedOn w:val="Normal"/>
    <w:pPr>
      <w:keepNext/>
      <w:ind w:left="709" w:right="0" w:hanging="0"/>
      <w:outlineLvl w:val="1"/>
    </w:pPr>
    <w:rPr>
      <w:b/>
      <w:i/>
      <w:sz w:val="28"/>
      <w:szCs w:val="24"/>
    </w:rPr>
  </w:style>
  <w:style w:type="character" w:styleId="DefaultParagraphFont" w:default="1">
    <w:name w:val="Default Paragraph Font"/>
    <w:semiHidden/>
    <w:rPr/>
  </w:style>
  <w:style w:type="character" w:styleId="CollegamentoInternet">
    <w:name w:val="Collegamento Internet"/>
    <w:rsid w:val="00367680"/>
    <w:rPr>
      <w:color w:val="0000FF"/>
      <w:u w:val="single"/>
      <w:lang w:val="zxx" w:eastAsia="zxx" w:bidi="zxx"/>
    </w:rPr>
  </w:style>
  <w:style w:type="character" w:styleId="Appleconvertedspace" w:customStyle="1">
    <w:name w:val="apple-converted-space"/>
    <w:rsid w:val="00fd4603"/>
    <w:rPr/>
  </w:style>
  <w:style w:type="character" w:styleId="Titolo2Carattere" w:customStyle="1">
    <w:name w:val="Titolo 2 Carattere"/>
    <w:link w:val="Titolo2"/>
    <w:rsid w:val="00fd4603"/>
    <w:rPr>
      <w:b/>
      <w:i/>
      <w:sz w:val="28"/>
      <w:szCs w:val="24"/>
    </w:rPr>
  </w:style>
  <w:style w:type="character" w:styleId="IntestazioneCarattere" w:customStyle="1">
    <w:name w:val="Intestazione Carattere"/>
    <w:link w:val="Intestazione"/>
    <w:rsid w:val="00fd4603"/>
    <w:rPr/>
  </w:style>
  <w:style w:type="character" w:styleId="Inlinea" w:customStyle="1">
    <w:name w:val="inlinea"/>
    <w:rsid w:val="000242c1"/>
    <w:rPr/>
  </w:style>
  <w:style w:type="character" w:styleId="ListLabel1">
    <w:name w:val="ListLabel 1"/>
    <w:rPr>
      <w:rFonts w:cs="Courier New"/>
    </w:rPr>
  </w:style>
  <w:style w:type="character" w:styleId="ListLabel2">
    <w:name w:val="ListLabel 2"/>
    <w:rPr>
      <w:rFonts w:eastAsia="Times New Roman" w:cs="Times New Roman"/>
    </w:rPr>
  </w:style>
  <w:style w:type="character" w:styleId="ListLabel3">
    <w:name w:val="ListLabel 3"/>
    <w:rPr>
      <w:sz w:val="20"/>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aption">
    <w:name w:val="caption"/>
    <w:qFormat/>
    <w:rsid w:val="00c36287"/>
    <w:basedOn w:val="Normal"/>
    <w:pPr>
      <w:widowControl w:val="false"/>
      <w:spacing w:lineRule="atLeast" w:line="187"/>
      <w:jc w:val="both"/>
    </w:pPr>
    <w:rPr>
      <w:rFonts w:ascii="Helvetica" w:hAnsi="Helvetica" w:cs="Helvetica"/>
      <w:b/>
      <w:bCs/>
      <w:color w:val="000000"/>
    </w:rPr>
  </w:style>
  <w:style w:type="paragraph" w:styleId="Titoloprincipale">
    <w:name w:val="Titolo principale"/>
    <w:qFormat/>
    <w:rsid w:val="00fa689a"/>
    <w:basedOn w:val="Normal"/>
    <w:pPr>
      <w:jc w:val="center"/>
    </w:pPr>
    <w:rPr>
      <w:rFonts w:ascii="Bookman Old Style" w:hAnsi="Bookman Old Style"/>
      <w:sz w:val="48"/>
    </w:rPr>
  </w:style>
  <w:style w:type="paragraph" w:styleId="Sottotitolo">
    <w:name w:val="Sottotitolo"/>
    <w:qFormat/>
    <w:rsid w:val="00fa689a"/>
    <w:basedOn w:val="Normal"/>
    <w:pPr>
      <w:jc w:val="center"/>
    </w:pPr>
    <w:rPr>
      <w:sz w:val="36"/>
    </w:rPr>
  </w:style>
  <w:style w:type="paragraph" w:styleId="BalloonText">
    <w:name w:val="Balloon Text"/>
    <w:semiHidden/>
    <w:rsid w:val="0096401a"/>
    <w:basedOn w:val="Normal"/>
    <w:pPr/>
    <w:rPr>
      <w:rFonts w:ascii="Tahoma" w:hAnsi="Tahoma" w:cs="Tahoma"/>
      <w:sz w:val="16"/>
      <w:szCs w:val="16"/>
    </w:rPr>
  </w:style>
  <w:style w:type="paragraph" w:styleId="Intestazione">
    <w:name w:val="Intestazione"/>
    <w:link w:val="IntestazioneCarattere"/>
    <w:rsid w:val="00b26bde"/>
    <w:basedOn w:val="Normal"/>
    <w:pPr>
      <w:tabs>
        <w:tab w:val="center" w:pos="4819" w:leader="none"/>
        <w:tab w:val="right" w:pos="9638" w:leader="none"/>
      </w:tabs>
    </w:pPr>
    <w:rPr/>
  </w:style>
  <w:style w:type="paragraph" w:styleId="Pidipagina">
    <w:name w:val="Piè di pagina"/>
    <w:rsid w:val="00b26bde"/>
    <w:basedOn w:val="Normal"/>
    <w:pPr>
      <w:tabs>
        <w:tab w:val="center" w:pos="4819" w:leader="none"/>
        <w:tab w:val="right" w:pos="9638" w:leader="none"/>
      </w:tabs>
    </w:pPr>
    <w:rPr/>
  </w:style>
  <w:style w:type="numbering" w:styleId="NoList" w:default="1">
    <w:name w:val="No List"/>
    <w:semiHidden/>
  </w:style>
  <w:style w:type="table" w:default="1" w:styleId="Tabellanormale">
    <w:name w:val="Normal Table"/>
    <w:semiHidden/>
    <w:tblPr>
      <w:tblInd w:type="dxa" w:w="0"/>
      <w:tblCellMar>
        <w:top w:w="0" w:type="dxa"/>
        <w:left w:w="108" w:type="dxa"/>
        <w:bottom w:w="0" w:type="dxa"/>
        <w:right w:w="108" w:type="dxa"/>
      </w:tblCellMar>
    </w:tblPr>
  </w:style>
  <w:style w:type="table" w:styleId="Grigliatabella">
    <w:name w:val="Table Grid"/>
    <w:basedOn w:val="Tabellanormale"/>
    <w:rsid w:val="00a72b0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2017-09-15T11:58:00Z</dcterms:created>
  <dc:creator>andrea.vassalli</dc:creator>
  <dc:language>it-IT</dc:language>
  <cp:lastModifiedBy>Davide Fiengo</cp:lastModifiedBy>
  <cp:lastPrinted>2015-06-19T11:05:00Z</cp:lastPrinted>
  <dcterms:modified xsi:type="dcterms:W3CDTF">2017-09-15T11:58:00Z</dcterms:modified>
  <cp:revision>2</cp:revision>
  <dc:title>Città di Albenga</dc:title>
</cp:coreProperties>
</file>