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2620A3">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tabs>
                <w:tab w:val="left" w:pos="4535"/>
              </w:tabs>
              <w:autoSpaceDE w:val="0"/>
              <w:autoSpaceDN w:val="0"/>
              <w:adjustRightInd w:val="0"/>
              <w:jc w:val="left"/>
              <w:rPr>
                <w:rFonts w:ascii="Calibri" w:hAnsi="Calibri" w:cs="Calibri"/>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tabs>
                <w:tab w:val="left" w:pos="4535"/>
              </w:tabs>
              <w:autoSpaceDE w:val="0"/>
              <w:autoSpaceDN w:val="0"/>
              <w:adjustRightInd w:val="0"/>
              <w:jc w:val="right"/>
              <w:rPr>
                <w:rFonts w:ascii="Times New Roman" w:hAnsi="Times New Roman" w:cs="Times New Roman"/>
                <w:i/>
                <w:iCs/>
                <w:sz w:val="21"/>
                <w:szCs w:val="21"/>
                <w:highlight w:val="yellow"/>
              </w:rPr>
            </w:pPr>
            <w:r>
              <w:rPr>
                <w:rFonts w:ascii="Times New Roman" w:hAnsi="Times New Roman" w:cs="Times New Roman"/>
                <w:i/>
                <w:iCs/>
                <w:sz w:val="21"/>
                <w:szCs w:val="21"/>
                <w:highlight w:val="yellow"/>
              </w:rPr>
              <w:t>RACCOMANDATA A.R</w:t>
            </w:r>
          </w:p>
          <w:p w:rsidR="002620A3" w:rsidRDefault="002620A3">
            <w:pPr>
              <w:tabs>
                <w:tab w:val="left" w:pos="4535"/>
              </w:tabs>
              <w:autoSpaceDE w:val="0"/>
              <w:autoSpaceDN w:val="0"/>
              <w:adjustRightInd w:val="0"/>
              <w:jc w:val="right"/>
              <w:rPr>
                <w:rFonts w:ascii="Calibri" w:hAnsi="Calibri" w:cs="Calibri"/>
              </w:rPr>
            </w:pPr>
            <w:r>
              <w:rPr>
                <w:rFonts w:ascii="Times New Roman" w:hAnsi="Times New Roman" w:cs="Times New Roman"/>
                <w:i/>
                <w:iCs/>
                <w:sz w:val="21"/>
                <w:szCs w:val="21"/>
              </w:rPr>
              <w:t>inviata via pec</w:t>
            </w:r>
          </w:p>
        </w:tc>
      </w:tr>
      <w:tr w:rsidR="002620A3">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tabs>
                <w:tab w:val="left" w:pos="4535"/>
              </w:tabs>
              <w:autoSpaceDE w:val="0"/>
              <w:autoSpaceDN w:val="0"/>
              <w:adjustRightInd w:val="0"/>
              <w:jc w:val="left"/>
              <w:rPr>
                <w:rFonts w:ascii="Calibri" w:hAnsi="Calibri" w:cs="Calibri"/>
              </w:rPr>
            </w:pPr>
            <w:r>
              <w:rPr>
                <w:rFonts w:ascii="Times New Roman" w:hAnsi="Times New Roman" w:cs="Times New Roman"/>
                <w:sz w:val="20"/>
                <w:szCs w:val="20"/>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tabs>
                <w:tab w:val="left" w:pos="4535"/>
              </w:tabs>
              <w:autoSpaceDE w:val="0"/>
              <w:autoSpaceDN w:val="0"/>
              <w:adjustRightInd w:val="0"/>
              <w:jc w:val="left"/>
              <w:rPr>
                <w:rFonts w:ascii="Calibri" w:hAnsi="Calibri" w:cs="Calibri"/>
              </w:rPr>
            </w:pPr>
            <w:r>
              <w:rPr>
                <w:rFonts w:ascii="Times New Roman" w:hAnsi="Times New Roman" w:cs="Times New Roman"/>
                <w:sz w:val="20"/>
                <w:szCs w:val="20"/>
              </w:rPr>
              <w:t>La Spezia, _____________</w:t>
            </w:r>
          </w:p>
        </w:tc>
      </w:tr>
    </w:tbl>
    <w:p w:rsidR="002620A3" w:rsidRDefault="002620A3" w:rsidP="002620A3">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3195"/>
        <w:gridCol w:w="1869"/>
        <w:gridCol w:w="4548"/>
      </w:tblGrid>
      <w:tr w:rsidR="002620A3">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jc w:val="left"/>
              <w:rPr>
                <w:rFonts w:ascii="Calibri" w:hAnsi="Calibri" w:cs="Calibri"/>
              </w:rPr>
            </w:pPr>
            <w:r>
              <w:rPr>
                <w:rFonts w:ascii="Times New Roman" w:hAnsi="Times New Roman" w:cs="Times New Roman"/>
                <w:sz w:val="21"/>
                <w:szCs w:val="21"/>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jc w:val="right"/>
              <w:rPr>
                <w:rFonts w:ascii="Calibri" w:hAnsi="Calibri"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Al Sig. [richiedenti.nominativo;block=tbs:row;]</w:t>
            </w:r>
          </w:p>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[richiedenti.indirizzo]</w:t>
            </w:r>
          </w:p>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 [richiedenti.comune] ([richiedenti.prov])</w:t>
            </w:r>
          </w:p>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in qualità di [richiedenti.titolo]</w:t>
            </w:r>
          </w:p>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della [richiedenti.ragsoc]</w:t>
            </w:r>
          </w:p>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[richiedenti.sede]</w:t>
            </w:r>
          </w:p>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[richiedenti.capd] [richiedenti.comuned] ([richiedenti.provd])</w:t>
            </w:r>
          </w:p>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[richiedenti.pec]</w:t>
            </w:r>
          </w:p>
          <w:p w:rsidR="002620A3" w:rsidRDefault="002620A3">
            <w:pPr>
              <w:autoSpaceDE w:val="0"/>
              <w:autoSpaceDN w:val="0"/>
              <w:adjustRightInd w:val="0"/>
              <w:jc w:val="left"/>
              <w:rPr>
                <w:rFonts w:ascii="Calibri" w:hAnsi="Calibri" w:cs="Calibri"/>
              </w:rPr>
            </w:pPr>
          </w:p>
        </w:tc>
      </w:tr>
      <w:tr w:rsidR="002620A3">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jc w:val="left"/>
              <w:rPr>
                <w:rFonts w:ascii="Calibri" w:hAnsi="Calibri" w:cs="Calibri"/>
              </w:rPr>
            </w:pPr>
            <w:r>
              <w:rPr>
                <w:rFonts w:ascii="Times New Roman" w:hAnsi="Times New Roman" w:cs="Times New Roman"/>
                <w:sz w:val="21"/>
                <w:szCs w:val="21"/>
              </w:rPr>
              <w:t>Allegati: //</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jc w:val="right"/>
              <w:rPr>
                <w:rFonts w:ascii="Calibri" w:hAnsi="Calibri"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Al [progettisti.nominativo;block=tbs:row;]</w:t>
            </w:r>
          </w:p>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[progettisti.indirizzo]</w:t>
            </w:r>
          </w:p>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[progettisti.cap] [progettisti.comune] ([progettisti.prov])</w:t>
            </w:r>
          </w:p>
          <w:p w:rsidR="002620A3" w:rsidRDefault="002620A3">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[progettisti.pec]</w:t>
            </w:r>
          </w:p>
          <w:p w:rsidR="002620A3" w:rsidRDefault="002620A3">
            <w:pPr>
              <w:autoSpaceDE w:val="0"/>
              <w:autoSpaceDN w:val="0"/>
              <w:adjustRightInd w:val="0"/>
              <w:jc w:val="left"/>
              <w:rPr>
                <w:rFonts w:ascii="Calibri" w:hAnsi="Calibri" w:cs="Calibri"/>
              </w:rPr>
            </w:pPr>
          </w:p>
        </w:tc>
      </w:tr>
    </w:tbl>
    <w:p w:rsidR="002620A3" w:rsidRDefault="002620A3" w:rsidP="002620A3">
      <w:pPr>
        <w:autoSpaceDE w:val="0"/>
        <w:autoSpaceDN w:val="0"/>
        <w:adjustRightInd w:val="0"/>
        <w:jc w:val="left"/>
        <w:rPr>
          <w:rFonts w:ascii="Calibri" w:hAnsi="Calibri" w:cs="Calibri"/>
        </w:rPr>
      </w:pPr>
    </w:p>
    <w:tbl>
      <w:tblPr>
        <w:tblW w:w="0" w:type="auto"/>
        <w:tblLayout w:type="fixed"/>
        <w:tblCellMar>
          <w:left w:w="70" w:type="dxa"/>
          <w:right w:w="70" w:type="dxa"/>
        </w:tblCellMar>
        <w:tblLook w:val="0000"/>
      </w:tblPr>
      <w:tblGrid>
        <w:gridCol w:w="1204"/>
        <w:gridCol w:w="8516"/>
      </w:tblGrid>
      <w:tr w:rsidR="002620A3">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rPr>
                <w:rFonts w:ascii="Calibri" w:hAnsi="Calibri" w:cs="Calibri"/>
              </w:rPr>
            </w:pPr>
            <w:r>
              <w:rPr>
                <w:rFonts w:ascii="Times New Roman" w:hAnsi="Times New Roman" w:cs="Times New Roman"/>
                <w:b/>
                <w:bCs/>
                <w:sz w:val="21"/>
                <w:szCs w:val="21"/>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rPr>
                <w:rFonts w:ascii="Calibri" w:hAnsi="Calibri" w:cs="Calibri"/>
              </w:rPr>
            </w:pPr>
            <w:r>
              <w:rPr>
                <w:rFonts w:ascii="Times New Roman" w:hAnsi="Times New Roman" w:cs="Times New Roman"/>
                <w:sz w:val="21"/>
                <w:szCs w:val="21"/>
              </w:rPr>
              <w:t>Richiesta di [tipo_pratica] per [oggetto] relative all’immobile sito in [ubicazione].</w:t>
            </w:r>
          </w:p>
        </w:tc>
      </w:tr>
    </w:tbl>
    <w:p w:rsidR="002620A3" w:rsidRDefault="002620A3" w:rsidP="002620A3">
      <w:pPr>
        <w:autoSpaceDE w:val="0"/>
        <w:autoSpaceDN w:val="0"/>
        <w:adjustRightInd w:val="0"/>
        <w:ind w:firstLine="709"/>
        <w:rPr>
          <w:rFonts w:ascii="Calibri" w:hAnsi="Calibri" w:cs="Calibri"/>
        </w:rPr>
      </w:pPr>
    </w:p>
    <w:p w:rsidR="002620A3" w:rsidRDefault="002620A3" w:rsidP="002620A3">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t>Con riferimento alla sopra richiamata istanza, si comunica che la Commissione Edilizia, ha esaminato, nella seduta del [data_rilascio_ce], il progetto allegato all’istanza indicata in oggetto esprimendo il seguente parere “</w:t>
      </w:r>
      <w:r>
        <w:rPr>
          <w:rFonts w:ascii="Times New Roman" w:hAnsi="Times New Roman" w:cs="Times New Roman"/>
          <w:b/>
          <w:bCs/>
          <w:i/>
          <w:iCs/>
          <w:sz w:val="21"/>
          <w:szCs w:val="21"/>
        </w:rPr>
        <w:t xml:space="preserve"> </w:t>
      </w:r>
      <w:r>
        <w:rPr>
          <w:rFonts w:ascii="Times New Roman" w:hAnsi="Times New Roman" w:cs="Times New Roman"/>
          <w:b/>
          <w:bCs/>
          <w:i/>
          <w:iCs/>
          <w:sz w:val="21"/>
          <w:szCs w:val="21"/>
          <w:highlight w:val="yellow"/>
        </w:rPr>
        <w:t>favorevole</w:t>
      </w:r>
      <w:r>
        <w:rPr>
          <w:rFonts w:ascii="Times New Roman" w:hAnsi="Times New Roman" w:cs="Times New Roman"/>
          <w:sz w:val="21"/>
          <w:szCs w:val="21"/>
        </w:rPr>
        <w:t xml:space="preserve"> </w:t>
      </w:r>
      <w:r>
        <w:rPr>
          <w:rFonts w:ascii="Times New Roman" w:hAnsi="Times New Roman" w:cs="Times New Roman"/>
          <w:i/>
          <w:iCs/>
          <w:sz w:val="21"/>
          <w:szCs w:val="21"/>
        </w:rPr>
        <w:t>[prescrizioni_ce]</w:t>
      </w:r>
      <w:r>
        <w:rPr>
          <w:rFonts w:ascii="Times New Roman" w:hAnsi="Times New Roman" w:cs="Times New Roman"/>
          <w:sz w:val="21"/>
          <w:szCs w:val="21"/>
        </w:rPr>
        <w:t>.”</w:t>
      </w:r>
    </w:p>
    <w:p w:rsidR="002620A3" w:rsidRDefault="002620A3" w:rsidP="002620A3">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t xml:space="preserve">Per il prosieguo della stessa occorre che venga </w:t>
      </w:r>
      <w:r>
        <w:rPr>
          <w:rFonts w:ascii="Times New Roman" w:hAnsi="Times New Roman" w:cs="Times New Roman"/>
          <w:b/>
          <w:bCs/>
          <w:sz w:val="21"/>
          <w:szCs w:val="21"/>
        </w:rPr>
        <w:t>a)</w:t>
      </w:r>
      <w:r>
        <w:rPr>
          <w:rFonts w:ascii="Times New Roman" w:hAnsi="Times New Roman" w:cs="Times New Roman"/>
          <w:sz w:val="21"/>
          <w:szCs w:val="21"/>
        </w:rPr>
        <w:t xml:space="preserve"> prodotto, in parziale sostituzione di quelle precedentemente presentate, tavole grafiche di adeguamento al parere della Commissione edilizia  </w:t>
      </w:r>
      <w:r>
        <w:rPr>
          <w:rFonts w:ascii="Times New Roman" w:hAnsi="Times New Roman" w:cs="Times New Roman"/>
          <w:b/>
          <w:bCs/>
          <w:sz w:val="21"/>
          <w:szCs w:val="21"/>
        </w:rPr>
        <w:t>b)</w:t>
      </w:r>
      <w:r>
        <w:rPr>
          <w:rFonts w:ascii="Times New Roman" w:hAnsi="Times New Roman" w:cs="Times New Roman"/>
          <w:sz w:val="21"/>
          <w:szCs w:val="21"/>
        </w:rPr>
        <w:t xml:space="preserve"> provveduto, </w:t>
      </w:r>
      <w:r>
        <w:rPr>
          <w:rFonts w:ascii="Times New Roman" w:hAnsi="Times New Roman" w:cs="Times New Roman"/>
          <w:b/>
          <w:bCs/>
          <w:sz w:val="21"/>
          <w:szCs w:val="21"/>
        </w:rPr>
        <w:t>entro 30 giorni</w:t>
      </w:r>
      <w:r>
        <w:rPr>
          <w:rFonts w:ascii="Times New Roman" w:hAnsi="Times New Roman" w:cs="Times New Roman"/>
          <w:sz w:val="21"/>
          <w:szCs w:val="21"/>
        </w:rPr>
        <w:t xml:space="preserve"> dal ricevimento della presente, ad effettuare un versamento di </w:t>
      </w:r>
      <w:r>
        <w:rPr>
          <w:rFonts w:ascii="Times New Roman" w:hAnsi="Times New Roman" w:cs="Times New Roman"/>
          <w:sz w:val="21"/>
          <w:szCs w:val="21"/>
          <w:highlight w:val="yellow"/>
        </w:rPr>
        <w:t>€ 1.033,00</w:t>
      </w:r>
      <w:r>
        <w:rPr>
          <w:rFonts w:ascii="Times New Roman" w:hAnsi="Times New Roman" w:cs="Times New Roman"/>
          <w:sz w:val="21"/>
          <w:szCs w:val="21"/>
        </w:rPr>
        <w:t xml:space="preserve">  a titolo di oblazione ai sensi dell’art. </w:t>
      </w:r>
      <w:r>
        <w:rPr>
          <w:rFonts w:ascii="Times New Roman" w:hAnsi="Times New Roman" w:cs="Times New Roman"/>
          <w:sz w:val="21"/>
          <w:szCs w:val="21"/>
          <w:highlight w:val="green"/>
        </w:rPr>
        <w:t>43 o 49</w:t>
      </w:r>
      <w:r>
        <w:rPr>
          <w:rFonts w:ascii="Times New Roman" w:hAnsi="Times New Roman" w:cs="Times New Roman"/>
          <w:sz w:val="21"/>
          <w:szCs w:val="21"/>
        </w:rPr>
        <w:t xml:space="preserve"> della L.R. 16/08 e s.m.i.. da versarsi sul c/c bancario del Comune di La Spezia  oppure su c/c postale intestato a Comune di La Spezia Servizio di Tesoreria, indicando come causale </w:t>
      </w:r>
      <w:r>
        <w:rPr>
          <w:rFonts w:ascii="Times New Roman" w:hAnsi="Times New Roman" w:cs="Times New Roman"/>
          <w:i/>
          <w:iCs/>
          <w:sz w:val="21"/>
          <w:szCs w:val="21"/>
        </w:rPr>
        <w:t>“oblazione per opere in via......”</w:t>
      </w:r>
      <w:r>
        <w:rPr>
          <w:rFonts w:ascii="Times New Roman" w:hAnsi="Times New Roman" w:cs="Times New Roman"/>
          <w:sz w:val="21"/>
          <w:szCs w:val="21"/>
        </w:rPr>
        <w:t xml:space="preserve"> ; </w:t>
      </w:r>
      <w:r>
        <w:rPr>
          <w:rFonts w:ascii="Times New Roman" w:hAnsi="Times New Roman" w:cs="Times New Roman"/>
          <w:b/>
          <w:bCs/>
          <w:sz w:val="21"/>
          <w:szCs w:val="21"/>
        </w:rPr>
        <w:t xml:space="preserve">la ricevuta del versamento dovrà essere trasmessa all’ufficio scrivente. </w:t>
      </w:r>
      <w:r>
        <w:rPr>
          <w:rFonts w:ascii="Times New Roman" w:hAnsi="Times New Roman" w:cs="Times New Roman"/>
          <w:sz w:val="21"/>
          <w:szCs w:val="21"/>
        </w:rPr>
        <w:t xml:space="preserve">In difetto, la procedura di regolarizzazione non potrà essere perfezionata e troveranno applicazione le sanzioni di legge </w:t>
      </w:r>
      <w:r>
        <w:rPr>
          <w:rFonts w:ascii="Times New Roman" w:hAnsi="Times New Roman" w:cs="Times New Roman"/>
          <w:b/>
          <w:bCs/>
          <w:sz w:val="21"/>
          <w:szCs w:val="21"/>
        </w:rPr>
        <w:t>c)</w:t>
      </w:r>
      <w:r>
        <w:rPr>
          <w:rFonts w:ascii="Times New Roman" w:hAnsi="Times New Roman" w:cs="Times New Roman"/>
          <w:sz w:val="21"/>
          <w:szCs w:val="21"/>
        </w:rPr>
        <w:t xml:space="preserve"> produca la seguente documentazione integrativa:</w:t>
      </w:r>
    </w:p>
    <w:p w:rsidR="002620A3" w:rsidRDefault="002620A3" w:rsidP="002620A3">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ricevuta dell’avvenuta compilazione modello ISTAT su il sito https://indata.istat.it/pdc/ e copia della relativa ricevuta; </w:t>
      </w:r>
    </w:p>
    <w:p w:rsidR="002620A3" w:rsidRDefault="002620A3" w:rsidP="002620A3">
      <w:pPr>
        <w:numPr>
          <w:ilvl w:val="0"/>
          <w:numId w:val="1"/>
        </w:numPr>
        <w:autoSpaceDE w:val="0"/>
        <w:autoSpaceDN w:val="0"/>
        <w:adjustRightInd w:val="0"/>
        <w:jc w:val="left"/>
        <w:rPr>
          <w:rFonts w:ascii="Times New Roman" w:hAnsi="Times New Roman" w:cs="Times New Roman"/>
          <w:sz w:val="21"/>
          <w:szCs w:val="21"/>
        </w:rPr>
      </w:pPr>
      <w:r>
        <w:rPr>
          <w:rFonts w:ascii="Times New Roman" w:hAnsi="Times New Roman" w:cs="Times New Roman"/>
          <w:sz w:val="21"/>
          <w:szCs w:val="21"/>
        </w:rPr>
        <w:t xml:space="preserve">documentazione indicata nell’elaborato St. 3 art. 5.2. punto A1 </w:t>
      </w:r>
      <w:r>
        <w:rPr>
          <w:rFonts w:ascii="Times New Roman" w:hAnsi="Times New Roman" w:cs="Times New Roman"/>
          <w:sz w:val="21"/>
          <w:szCs w:val="21"/>
          <w:highlight w:val="yellow"/>
        </w:rPr>
        <w:t>(verificare)</w:t>
      </w:r>
      <w:r>
        <w:rPr>
          <w:rFonts w:ascii="Times New Roman" w:hAnsi="Times New Roman" w:cs="Times New Roman"/>
          <w:sz w:val="21"/>
          <w:szCs w:val="21"/>
        </w:rPr>
        <w:t xml:space="preserve"> del P.U.C</w:t>
      </w:r>
    </w:p>
    <w:p w:rsidR="002620A3" w:rsidRDefault="002620A3" w:rsidP="002620A3">
      <w:pPr>
        <w:numPr>
          <w:ilvl w:val="0"/>
          <w:numId w:val="1"/>
        </w:numPr>
        <w:tabs>
          <w:tab w:val="left" w:pos="7230"/>
        </w:tabs>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stralcio planimetrico della cartografia regionale nella scala 1:5000 con riportate la nuova costruzione le relative coordinate cartografiche( in due copie formato A4)</w:t>
      </w:r>
    </w:p>
    <w:p w:rsidR="002620A3" w:rsidRDefault="002620A3" w:rsidP="002620A3">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elaborato debitamente quotato e in scala adeguata con il calcolo, per esteso, della superficie imponibile ai sensi della L.R. 25/95, ai fini della determinazione del contributo di costruzione di cui all’art. 38 della L.R. 16/08 e s.m.i. </w:t>
      </w:r>
      <w:r>
        <w:rPr>
          <w:rFonts w:ascii="Times New Roman" w:hAnsi="Times New Roman" w:cs="Times New Roman"/>
          <w:i/>
          <w:iCs/>
          <w:sz w:val="21"/>
          <w:szCs w:val="21"/>
        </w:rPr>
        <w:t>(la superficie interna di solaio dovrà essere misurata al filo interno dei muri perimetrali, comprensiva dei divisori e con esclusione dei corpi scala, ascensori, superfici e volumi tecnici ed altri locali accessori non computabili ai fini urbanistici in base allo Strumento urbanistico generale e al Regolamento</w:t>
      </w:r>
      <w:r>
        <w:rPr>
          <w:rFonts w:ascii="Times New Roman" w:hAnsi="Times New Roman" w:cs="Times New Roman"/>
          <w:sz w:val="21"/>
          <w:szCs w:val="21"/>
        </w:rPr>
        <w:t xml:space="preserve"> </w:t>
      </w:r>
      <w:r>
        <w:rPr>
          <w:rFonts w:ascii="Times New Roman" w:hAnsi="Times New Roman" w:cs="Times New Roman"/>
          <w:i/>
          <w:iCs/>
          <w:sz w:val="21"/>
          <w:szCs w:val="21"/>
        </w:rPr>
        <w:t>edilizio)</w:t>
      </w:r>
      <w:r>
        <w:rPr>
          <w:rFonts w:ascii="Times New Roman" w:hAnsi="Times New Roman" w:cs="Times New Roman"/>
          <w:sz w:val="21"/>
          <w:szCs w:val="21"/>
        </w:rPr>
        <w:t>; si fa presente, nel contempo che Lei potrà dimostrare il possesso dei requisiti di cui all'art. 38 della L.R. 16/08 e s.m.i. per la riduzione e l’esonero dal contributo di costruzione;</w:t>
      </w:r>
    </w:p>
    <w:p w:rsidR="002620A3" w:rsidRDefault="002620A3" w:rsidP="002620A3">
      <w:pPr>
        <w:numPr>
          <w:ilvl w:val="0"/>
          <w:numId w:val="1"/>
        </w:numPr>
        <w:tabs>
          <w:tab w:val="left" w:pos="7230"/>
        </w:tabs>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lastRenderedPageBreak/>
        <w:t>progetto dell’impianto termico, redatto ai sensi della vigente normativa in materia di utilizzo delle fonti energetiche rinnovabili e di risparmio energetico e ai sensi della Legge Regionale 22 del 29.05.2007 e relativo Regolamento di attuazione emanato con provvedimento del Presidente della Giunta regionale n° 6 in data 13.11.2012 e dall’art. 54 del vigente Regolamento Edilizio.</w:t>
      </w:r>
    </w:p>
    <w:p w:rsidR="002620A3" w:rsidRDefault="002620A3" w:rsidP="002620A3">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progetto o, in alternativa,  relazione descrittiva ed illustrativa delle opere di sistemazione dei luoghi previste dall'articolo 9, comma 1, della legge regionale 7 aprile 1995 n. 25, nei casi in cui in presenza di intervento di insediamento, ampliamento o ristrutturazione di edifici produttivi come definiti dall'articolo 7, comma 1, lett. e), della medesima legge, le opere stesse siano  necessarie  in conseguenza degli effetti sul territorio prodotti dall'intervento stesso;</w:t>
      </w:r>
    </w:p>
    <w:p w:rsidR="002620A3" w:rsidRDefault="002620A3" w:rsidP="002620A3">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(in caso di esecuzione diretta di opere di urbanizzazione da parte del richiedente), presentazione di atto di impegno e di computo metrico </w:t>
      </w:r>
      <w:r>
        <w:rPr>
          <w:rFonts w:ascii="Times New Roman" w:hAnsi="Times New Roman" w:cs="Times New Roman"/>
          <w:sz w:val="21"/>
          <w:szCs w:val="21"/>
        </w:rPr>
        <w:softHyphen/>
        <w:t>estimativo dai quali risultino l'accettazione da parte dello stesso delle modalità e delle garanzie stabilite dalla Deliberazione del Consiglio comunale di cui all'articolo 13, comma 5, della legge regionale 7 aprile 1995 n. 25, nonché i costi da sostenere dall'interessato fermo restando comunque il loro scomputo nei limiti indicati dall'articolo 12, comma 2, della ridetta legge regionale 7 aprile 1995 n. 25;</w:t>
      </w:r>
    </w:p>
    <w:p w:rsidR="002620A3" w:rsidRDefault="002620A3" w:rsidP="002620A3">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copia dell’atto unilaterale di vincolo della costruzione in progetto alla destinazione d’uso a box ai sensi e per gli effetti dell’art. 9 della L. 122/89 contenente l’impegno a trasmettere a questo Comune gli atti di vincolo di pertinenzialità esclusiva e indivisibile del box in progetto a favore di unità immobiliari ubicate in edifici circostanti l’area interessata dall’intervento e ricompresi nel raggio di metri 500, impegnandosi a non alienarle separatamente (oppure copia dell’atto unilaterale di vincolo di pertinenzialità esclusiva e indivisibile del box in progetto ai sensi e per gli effetti dell’art. 9 della L. 122/89 a favore di unità immobiliari ubicate in edifici circostanti l’area interessata dall’intervento e ricompresi nel raggio di metri 500, impegnandosi a non alienarle separatamente); ( oppure copia dell’atto unilaterale di vincolo dei box alle rispettive unità immobiliari che si andranno a creare, come richiesto dall’art. 2 comma 3 della L.R. n. 24/01) per la definizione di tale atto potrà essere preso contatto con l’ufficio scrivente ritirando presso lo stesso, opportuno fac simile.</w:t>
      </w:r>
    </w:p>
    <w:p w:rsidR="002620A3" w:rsidRDefault="002620A3" w:rsidP="002620A3">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tavola di verifica degli standard urbanistici (verde e parcheggio) escluse le sedi viarie, in cui risultino individuate, e quindi escluse ai fini del conteggio degli standards urbanistici, le sedi viarie e atto unilaterale d’obbligo con il quale il richiedente si impegni  a asservire alla costruzione le aree a parcheggio e/o a verde pubblico connesse alla costruzione stessa ed individuate nella tavola sopraccitata, per il soddisfacimento degli standard urbanistici di cui all’art. 9 delle norme di attuazione del PUC. Nel caso in cui per dimostrata impossibilità, le aree in questione non vengano totalmente reperite, dovrà essere versato dal titolare del permesso di costruire, all’atto del ritiro del permesso, in aggiunta agli oneri di costruzione, un contributo sostitutivo alla realizzazione delle aree a verde e parcheggio non reperite, per soddisfacimento dello standard; tale cifra sarà costituita dal costo reperimento aree  e  dal costo delle opere necessarie per la loro sistemazione a verde pubblico. </w:t>
      </w:r>
    </w:p>
    <w:p w:rsidR="002620A3" w:rsidRDefault="002620A3" w:rsidP="002620A3">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Per la definizione di tale atto potrà essere preso contatto con l’ufficio scrivente.</w:t>
      </w:r>
    </w:p>
    <w:p w:rsidR="002620A3" w:rsidRDefault="002620A3" w:rsidP="002620A3">
      <w:pPr>
        <w:autoSpaceDE w:val="0"/>
        <w:autoSpaceDN w:val="0"/>
        <w:adjustRightInd w:val="0"/>
        <w:ind w:left="284" w:hanging="284"/>
        <w:rPr>
          <w:rFonts w:ascii="Times New Roman" w:hAnsi="Times New Roman" w:cs="Times New Roman"/>
          <w:sz w:val="21"/>
          <w:szCs w:val="21"/>
        </w:rPr>
      </w:pPr>
      <w:r>
        <w:rPr>
          <w:rFonts w:ascii="Times New Roman" w:hAnsi="Times New Roman" w:cs="Times New Roman"/>
          <w:sz w:val="21"/>
          <w:szCs w:val="21"/>
        </w:rPr>
        <w:t>Detto contributo è stato quantificato in € ………./mq. relativamente all’area a parcheggio) e €       ………./mq relativamente all’area a verde.</w:t>
      </w:r>
    </w:p>
    <w:p w:rsidR="002620A3" w:rsidRDefault="002620A3" w:rsidP="002620A3">
      <w:pPr>
        <w:autoSpaceDE w:val="0"/>
        <w:autoSpaceDN w:val="0"/>
        <w:adjustRightInd w:val="0"/>
        <w:rPr>
          <w:rFonts w:ascii="Calibri" w:hAnsi="Calibri" w:cs="Calibri"/>
        </w:rPr>
      </w:pPr>
    </w:p>
    <w:p w:rsidR="002620A3" w:rsidRDefault="002620A3" w:rsidP="002620A3">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highlight w:val="yellow"/>
        </w:rPr>
        <w:t>(da rivedere)</w:t>
      </w:r>
      <w:r>
        <w:rPr>
          <w:rFonts w:ascii="Times New Roman" w:hAnsi="Times New Roman" w:cs="Times New Roman"/>
          <w:sz w:val="21"/>
          <w:szCs w:val="21"/>
        </w:rPr>
        <w:t xml:space="preserve"> tavola di verifica degli standard urbanistici richiesti dall’art. 2 comma 2 lettera e) della L.R. n. 25/93 in cui risulti individuato lo spazio per parcheggio in misura di * posti auto, in relazione alle * nuove unità immobiliari che verranno realizzate. Ai fini del rilascio del permesso di costruire la S.V. dovrà produrre atto di impegno unilaterale redatto da un Notaio con il quale viene asservita ad uso pubblico l’area a parcheggio reperita; nel caso in cui per dimostrata impossibilità, l’area in questione non venga reperita, dovrà essere versato dal titolare del permesso di costruire, all’atto del ritiro della permesso stesso, in aggiunta agli oneri di costruzione, un contributo sostitutivo alla realizzazione di un posto macchina convenzionalmente quantificato di mq. 12.00 per un importo di £. 1.703.000 (pari a 879,55 Euro) a posto auto. </w:t>
      </w:r>
    </w:p>
    <w:p w:rsidR="002620A3" w:rsidRDefault="002620A3" w:rsidP="002620A3">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autorizzazione rilasciata ai sensi della Legge Regionale n. 4 del 22.01.1999 </w:t>
      </w:r>
      <w:r>
        <w:rPr>
          <w:rFonts w:ascii="Times New Roman" w:hAnsi="Times New Roman" w:cs="Times New Roman"/>
          <w:sz w:val="21"/>
          <w:szCs w:val="21"/>
          <w:highlight w:val="green"/>
        </w:rPr>
        <w:t>dal civico Servizio Ambiente</w:t>
      </w:r>
      <w:r>
        <w:rPr>
          <w:rFonts w:ascii="Times New Roman" w:hAnsi="Times New Roman" w:cs="Times New Roman"/>
          <w:sz w:val="21"/>
          <w:szCs w:val="21"/>
        </w:rPr>
        <w:t xml:space="preserve"> relativamente al movimento di terra da realizzarsi in zona sottoposta a vincolo idrogeologico e autocertificazione in merito alla conformità degli elaborati presentati con quelli depositati in Comune allegati all’istanza di permesso di costruire in oggetto;</w:t>
      </w:r>
    </w:p>
    <w:p w:rsidR="002620A3" w:rsidRDefault="002620A3" w:rsidP="002620A3">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documentazione di impatto acustico/clima acustico, ai sensi della L. 447/95, della L.R. 12/98 e della deliberazione di G.R. n. 534/99.</w:t>
      </w:r>
    </w:p>
    <w:p w:rsidR="002620A3" w:rsidRDefault="002620A3" w:rsidP="002620A3">
      <w:pPr>
        <w:autoSpaceDE w:val="0"/>
        <w:autoSpaceDN w:val="0"/>
        <w:adjustRightInd w:val="0"/>
        <w:rPr>
          <w:rFonts w:ascii="Calibri" w:hAnsi="Calibri" w:cs="Calibri"/>
        </w:rPr>
      </w:pPr>
    </w:p>
    <w:p w:rsidR="002620A3" w:rsidRDefault="002620A3" w:rsidP="002620A3">
      <w:pPr>
        <w:tabs>
          <w:tab w:val="left" w:pos="7230"/>
        </w:tabs>
        <w:autoSpaceDE w:val="0"/>
        <w:autoSpaceDN w:val="0"/>
        <w:adjustRightInd w:val="0"/>
        <w:rPr>
          <w:rFonts w:ascii="Calibri" w:hAnsi="Calibri" w:cs="Calibri"/>
        </w:rPr>
      </w:pPr>
    </w:p>
    <w:p w:rsidR="002620A3" w:rsidRDefault="002620A3" w:rsidP="002620A3">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Infine considerato che l’intervento da eseguire prevede movimenti di terreno e scavi risulta necessario trasmettere la seguente documentazione:</w:t>
      </w:r>
    </w:p>
    <w:p w:rsidR="002620A3" w:rsidRDefault="002620A3" w:rsidP="002620A3">
      <w:pPr>
        <w:autoSpaceDE w:val="0"/>
        <w:autoSpaceDN w:val="0"/>
        <w:adjustRightInd w:val="0"/>
        <w:rPr>
          <w:rFonts w:ascii="Calibri" w:hAnsi="Calibri" w:cs="Calibri"/>
        </w:rPr>
      </w:pPr>
    </w:p>
    <w:p w:rsidR="002620A3" w:rsidRDefault="002620A3" w:rsidP="002620A3">
      <w:pPr>
        <w:numPr>
          <w:ilvl w:val="0"/>
          <w:numId w:val="1"/>
        </w:numPr>
        <w:autoSpaceDE w:val="0"/>
        <w:autoSpaceDN w:val="0"/>
        <w:adjustRightInd w:val="0"/>
        <w:spacing w:after="57"/>
        <w:rPr>
          <w:rFonts w:ascii="Times New Roman" w:hAnsi="Times New Roman" w:cs="Times New Roman"/>
          <w:i/>
          <w:iCs/>
          <w:color w:val="0000FF"/>
          <w:sz w:val="21"/>
          <w:szCs w:val="21"/>
          <w:u w:val="single"/>
        </w:rPr>
      </w:pPr>
      <w:r>
        <w:rPr>
          <w:rFonts w:ascii="Times New Roman" w:hAnsi="Times New Roman" w:cs="Times New Roman"/>
          <w:sz w:val="21"/>
          <w:szCs w:val="21"/>
        </w:rPr>
        <w:t xml:space="preserve">nel caso in cui </w:t>
      </w:r>
      <w:r>
        <w:rPr>
          <w:rFonts w:ascii="Times New Roman" w:hAnsi="Times New Roman" w:cs="Times New Roman"/>
          <w:b/>
          <w:bCs/>
          <w:sz w:val="21"/>
          <w:szCs w:val="21"/>
        </w:rPr>
        <w:t>non sia previsto il riutilizzo</w:t>
      </w:r>
      <w:r>
        <w:rPr>
          <w:rFonts w:ascii="Times New Roman" w:hAnsi="Times New Roman" w:cs="Times New Roman"/>
          <w:sz w:val="21"/>
          <w:szCs w:val="21"/>
        </w:rPr>
        <w:t xml:space="preserve"> delle terre e rocce da scavo derivanti dall’intervento in oggetto, dovrà essere fornita una dichiarazione, resa sottoforma di autocertificazione ai sensi dell'art. 46 del DPR 445 del </w:t>
      </w:r>
      <w:r>
        <w:rPr>
          <w:rFonts w:ascii="Times New Roman" w:hAnsi="Times New Roman" w:cs="Times New Roman"/>
          <w:sz w:val="21"/>
          <w:szCs w:val="21"/>
        </w:rPr>
        <w:lastRenderedPageBreak/>
        <w:t xml:space="preserve">28/12/2000, a firma del richiedente circa il </w:t>
      </w:r>
      <w:r>
        <w:rPr>
          <w:rFonts w:ascii="Times New Roman" w:hAnsi="Times New Roman" w:cs="Times New Roman"/>
          <w:sz w:val="21"/>
          <w:szCs w:val="21"/>
          <w:u w:val="single"/>
        </w:rPr>
        <w:t>conferimento in discarica,</w:t>
      </w:r>
      <w:r>
        <w:rPr>
          <w:rFonts w:ascii="Times New Roman" w:hAnsi="Times New Roman" w:cs="Times New Roman"/>
          <w:sz w:val="21"/>
          <w:szCs w:val="21"/>
        </w:rPr>
        <w:t xml:space="preserve">  delle stesse, attenendosi a quanto previsto dalle vigenti norme in materia </w:t>
      </w:r>
      <w:r>
        <w:rPr>
          <w:rFonts w:ascii="Times New Roman" w:hAnsi="Times New Roman" w:cs="Times New Roman"/>
          <w:i/>
          <w:iCs/>
          <w:sz w:val="21"/>
          <w:szCs w:val="21"/>
        </w:rPr>
        <w:t>(</w:t>
      </w:r>
      <w:r>
        <w:rPr>
          <w:rFonts w:ascii="Times New Roman" w:hAnsi="Times New Roman" w:cs="Times New Roman"/>
          <w:i/>
          <w:iCs/>
          <w:color w:val="000000"/>
          <w:sz w:val="21"/>
          <w:szCs w:val="21"/>
        </w:rPr>
        <w:t xml:space="preserve">vedasi modello </w:t>
      </w:r>
      <w:r>
        <w:rPr>
          <w:rFonts w:ascii="Times New Roman" w:hAnsi="Times New Roman" w:cs="Times New Roman"/>
          <w:b/>
          <w:bCs/>
          <w:i/>
          <w:iCs/>
          <w:color w:val="000000"/>
          <w:sz w:val="21"/>
          <w:szCs w:val="21"/>
        </w:rPr>
        <w:t>“Autocertificazione terre da scavo presso discarica”</w:t>
      </w:r>
      <w:r>
        <w:rPr>
          <w:rFonts w:ascii="Times New Roman" w:hAnsi="Times New Roman" w:cs="Times New Roman"/>
          <w:i/>
          <w:iCs/>
          <w:color w:val="0000FF"/>
          <w:sz w:val="21"/>
          <w:szCs w:val="21"/>
          <w:u w:val="single"/>
        </w:rPr>
        <w:t>)</w:t>
      </w:r>
    </w:p>
    <w:p w:rsidR="002620A3" w:rsidRDefault="002620A3" w:rsidP="002620A3">
      <w:pPr>
        <w:numPr>
          <w:ilvl w:val="0"/>
          <w:numId w:val="1"/>
        </w:numPr>
        <w:autoSpaceDE w:val="0"/>
        <w:autoSpaceDN w:val="0"/>
        <w:adjustRightInd w:val="0"/>
        <w:spacing w:after="57"/>
        <w:rPr>
          <w:rFonts w:ascii="Times New Roman" w:hAnsi="Times New Roman" w:cs="Times New Roman"/>
          <w:i/>
          <w:iCs/>
          <w:color w:val="0000FF"/>
          <w:sz w:val="21"/>
          <w:szCs w:val="21"/>
          <w:u w:val="single"/>
        </w:rPr>
      </w:pPr>
      <w:r>
        <w:rPr>
          <w:rFonts w:ascii="Times New Roman" w:hAnsi="Times New Roman" w:cs="Times New Roman"/>
          <w:sz w:val="21"/>
          <w:szCs w:val="21"/>
        </w:rPr>
        <w:t xml:space="preserve">nel caso in cui </w:t>
      </w:r>
      <w:r>
        <w:rPr>
          <w:rFonts w:ascii="Times New Roman" w:hAnsi="Times New Roman" w:cs="Times New Roman"/>
          <w:b/>
          <w:bCs/>
          <w:sz w:val="21"/>
          <w:szCs w:val="21"/>
        </w:rPr>
        <w:t>ne sia previsto il riutilizzo per i reinterri o riempimenti in sito o in altre aree,</w:t>
      </w:r>
      <w:r>
        <w:rPr>
          <w:rFonts w:ascii="Times New Roman" w:hAnsi="Times New Roman" w:cs="Times New Roman"/>
          <w:sz w:val="21"/>
          <w:szCs w:val="21"/>
        </w:rPr>
        <w:t xml:space="preserve"> dovranno essere attivate le procedure previste dalla normativa vigente recentemente modificata dalla D.G.R. 15.11.2013 n° 1423, presso l'Ente preposto alla vigilanza (ARPAL) e dovrà essere prodotta al Comune la dichiarazione sostitutiva dell'atto di notorietà, ai sensi dell'art. 46 del DPR 445 del 28/12/2000, a firma del richiedente </w:t>
      </w:r>
      <w:r>
        <w:rPr>
          <w:rFonts w:ascii="Times New Roman" w:hAnsi="Times New Roman" w:cs="Times New Roman"/>
          <w:i/>
          <w:iCs/>
          <w:sz w:val="21"/>
          <w:szCs w:val="21"/>
        </w:rPr>
        <w:t>(</w:t>
      </w:r>
      <w:r>
        <w:rPr>
          <w:rFonts w:ascii="Times New Roman" w:hAnsi="Times New Roman" w:cs="Times New Roman"/>
          <w:i/>
          <w:iCs/>
          <w:color w:val="000000"/>
          <w:sz w:val="21"/>
          <w:szCs w:val="21"/>
        </w:rPr>
        <w:t xml:space="preserve">vedasi modello </w:t>
      </w:r>
      <w:r>
        <w:rPr>
          <w:rFonts w:ascii="Times New Roman" w:hAnsi="Times New Roman" w:cs="Times New Roman"/>
          <w:b/>
          <w:bCs/>
          <w:i/>
          <w:iCs/>
          <w:color w:val="000000"/>
          <w:sz w:val="21"/>
          <w:szCs w:val="21"/>
        </w:rPr>
        <w:t>“Autocertificazione terre da scavo riutilizzo in sito”</w:t>
      </w:r>
      <w:r>
        <w:rPr>
          <w:rFonts w:ascii="Times New Roman" w:hAnsi="Times New Roman" w:cs="Times New Roman"/>
          <w:i/>
          <w:iCs/>
          <w:color w:val="0000FF"/>
          <w:sz w:val="21"/>
          <w:szCs w:val="21"/>
          <w:u w:val="single"/>
        </w:rPr>
        <w:t>)</w:t>
      </w:r>
    </w:p>
    <w:p w:rsidR="002620A3" w:rsidRDefault="002620A3" w:rsidP="002620A3">
      <w:pPr>
        <w:numPr>
          <w:ilvl w:val="0"/>
          <w:numId w:val="1"/>
        </w:numPr>
        <w:autoSpaceDE w:val="0"/>
        <w:autoSpaceDN w:val="0"/>
        <w:adjustRightInd w:val="0"/>
        <w:spacing w:after="57"/>
        <w:rPr>
          <w:rFonts w:ascii="Times New Roman" w:hAnsi="Times New Roman" w:cs="Times New Roman"/>
          <w:sz w:val="21"/>
          <w:szCs w:val="21"/>
        </w:rPr>
      </w:pPr>
      <w:r>
        <w:rPr>
          <w:rFonts w:ascii="Times New Roman" w:hAnsi="Times New Roman" w:cs="Times New Roman"/>
          <w:sz w:val="21"/>
          <w:szCs w:val="21"/>
        </w:rPr>
        <w:t>nel caso in cui occorresse effettuare dei riempimenti o dei riporti è necessario che ciò avvenga con materiali idonei e qualora detti materiali provengano da altri cantieri per gli stessi dovrà essere stata espletata la procedura prevista a termini delle vigenti normative in materia, da parte del titolare del cantiere di provenienza.</w:t>
      </w:r>
    </w:p>
    <w:p w:rsidR="002620A3" w:rsidRDefault="002620A3" w:rsidP="002620A3">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Infine si rammenta l'obbligo del rispetto della normativa regionale per la prevenzione delle cadute dall'alto nei cantieri edili introdotta con la legge regionale n.5 del 15/02/2010, modificata dalla L.R. 43 del 17.12.2012.</w:t>
      </w:r>
    </w:p>
    <w:p w:rsidR="002620A3" w:rsidRDefault="002620A3" w:rsidP="002620A3">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La normativa sopraccitata prevede l'obbligo di realizzare un sistema di ancoraggio permanente e sicuro per i lavoratori che operano sul tetto.</w:t>
      </w:r>
    </w:p>
    <w:p w:rsidR="002620A3" w:rsidRDefault="002620A3" w:rsidP="002620A3">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A tal fine è necessario trasmettere:</w:t>
      </w:r>
    </w:p>
    <w:p w:rsidR="002620A3" w:rsidRDefault="002620A3" w:rsidP="002620A3">
      <w:pPr>
        <w:numPr>
          <w:ilvl w:val="0"/>
          <w:numId w:val="1"/>
        </w:numPr>
        <w:autoSpaceDE w:val="0"/>
        <w:autoSpaceDN w:val="0"/>
        <w:adjustRightInd w:val="0"/>
        <w:spacing w:before="100"/>
        <w:rPr>
          <w:rFonts w:ascii="Times New Roman" w:hAnsi="Times New Roman" w:cs="Times New Roman"/>
          <w:sz w:val="21"/>
          <w:szCs w:val="21"/>
        </w:rPr>
      </w:pPr>
      <w:r>
        <w:rPr>
          <w:rFonts w:ascii="Times New Roman" w:hAnsi="Times New Roman" w:cs="Times New Roman"/>
          <w:sz w:val="21"/>
          <w:szCs w:val="21"/>
        </w:rPr>
        <w:t>elaborato planimetrico contenente l’individuazione dei punti di installazione dei dispositivi di ancoraggio, degli accessi e dei percorsi;</w:t>
      </w:r>
    </w:p>
    <w:p w:rsidR="002620A3" w:rsidRDefault="002620A3" w:rsidP="002620A3">
      <w:pPr>
        <w:numPr>
          <w:ilvl w:val="0"/>
          <w:numId w:val="1"/>
        </w:numPr>
        <w:autoSpaceDE w:val="0"/>
        <w:autoSpaceDN w:val="0"/>
        <w:adjustRightInd w:val="0"/>
        <w:spacing w:before="100"/>
        <w:rPr>
          <w:rFonts w:ascii="Times New Roman" w:hAnsi="Times New Roman" w:cs="Times New Roman"/>
          <w:sz w:val="21"/>
          <w:szCs w:val="21"/>
        </w:rPr>
      </w:pPr>
      <w:r>
        <w:rPr>
          <w:rFonts w:ascii="Times New Roman" w:hAnsi="Times New Roman" w:cs="Times New Roman"/>
          <w:sz w:val="21"/>
          <w:szCs w:val="21"/>
        </w:rPr>
        <w:t>relazione di calcolo di verifica della resistenza dei punti di ancoraggio rilasciata dal progettista stesso o da altro professionista abilitato</w:t>
      </w:r>
    </w:p>
    <w:p w:rsidR="002620A3" w:rsidRDefault="002620A3" w:rsidP="002620A3">
      <w:pPr>
        <w:autoSpaceDE w:val="0"/>
        <w:autoSpaceDN w:val="0"/>
        <w:adjustRightInd w:val="0"/>
        <w:rPr>
          <w:rFonts w:ascii="Calibri" w:hAnsi="Calibri" w:cs="Calibri"/>
        </w:rPr>
      </w:pPr>
    </w:p>
    <w:p w:rsidR="002620A3" w:rsidRDefault="002620A3" w:rsidP="002620A3">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t>Con riferimento all’istanza, relativa alla rateizzazione degli oneri di costruzione afferenti l’intervento in oggetto, si comunica che l’importo degli stessi risulta essere di complessive [oneri_totale],</w:t>
      </w:r>
    </w:p>
    <w:p w:rsidR="002620A3" w:rsidRDefault="002620A3" w:rsidP="002620A3">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              Detto importo è rateizzabile in quattro rate semestrali. Le rate dovranno essere corrisposte entro il termine e secondo le modalità indicate nella comunicazione di avvenuto rilascio del Permesso di costruire.</w:t>
      </w:r>
    </w:p>
    <w:p w:rsidR="002620A3" w:rsidRDefault="002620A3" w:rsidP="002620A3">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              Al fine dell’ulteriore corso della pratica, è necessario che Lei faccia pervenire idonee garanzie, sotto specie di fideiussione bancaria o di polizza cauzionale rilasciata da impresa di assicurazione regolarmente autorizzata (vedasi nota riportata a tergo), per l’importo corrispondente alle tre rate  semestrali pari a [rata_3]</w:t>
      </w:r>
    </w:p>
    <w:p w:rsidR="002620A3" w:rsidRDefault="002620A3" w:rsidP="002620A3">
      <w:pPr>
        <w:autoSpaceDE w:val="0"/>
        <w:autoSpaceDN w:val="0"/>
        <w:adjustRightInd w:val="0"/>
        <w:rPr>
          <w:rFonts w:ascii="Times New Roman" w:hAnsi="Times New Roman" w:cs="Times New Roman"/>
          <w:b/>
          <w:bCs/>
          <w:sz w:val="21"/>
          <w:szCs w:val="21"/>
        </w:rPr>
      </w:pPr>
      <w:r>
        <w:rPr>
          <w:rFonts w:ascii="Times New Roman" w:hAnsi="Times New Roman" w:cs="Times New Roman"/>
          <w:b/>
          <w:bCs/>
          <w:sz w:val="21"/>
          <w:szCs w:val="21"/>
        </w:rPr>
        <w:t xml:space="preserve"> </w:t>
      </w:r>
    </w:p>
    <w:p w:rsidR="002620A3" w:rsidRDefault="002620A3" w:rsidP="002620A3">
      <w:pPr>
        <w:autoSpaceDE w:val="0"/>
        <w:autoSpaceDN w:val="0"/>
        <w:adjustRightInd w:val="0"/>
        <w:rPr>
          <w:rFonts w:ascii="Times New Roman" w:hAnsi="Times New Roman" w:cs="Times New Roman"/>
          <w:b/>
          <w:bCs/>
          <w:sz w:val="21"/>
          <w:szCs w:val="21"/>
        </w:rPr>
      </w:pPr>
      <w:r>
        <w:rPr>
          <w:rFonts w:ascii="Times New Roman" w:hAnsi="Times New Roman" w:cs="Times New Roman"/>
          <w:b/>
          <w:bCs/>
          <w:sz w:val="21"/>
          <w:szCs w:val="21"/>
        </w:rPr>
        <w:tab/>
        <w:t>Si comunica che sino all’avvenuta acquisizione di quanto sopra richiesto, i termini di cui al comma 3 dell’art. 20 del D.P.R. 380/01 e del comma 5 dell’art. 31 della L.R. 16/08 restano sospesi.</w:t>
      </w:r>
    </w:p>
    <w:p w:rsidR="002620A3" w:rsidRDefault="002620A3" w:rsidP="002620A3">
      <w:pPr>
        <w:autoSpaceDE w:val="0"/>
        <w:autoSpaceDN w:val="0"/>
        <w:adjustRightInd w:val="0"/>
        <w:rPr>
          <w:rFonts w:ascii="Calibri" w:hAnsi="Calibri" w:cs="Calibri"/>
        </w:rPr>
      </w:pPr>
    </w:p>
    <w:p w:rsidR="002620A3" w:rsidRDefault="002620A3" w:rsidP="002620A3">
      <w:pPr>
        <w:autoSpaceDE w:val="0"/>
        <w:autoSpaceDN w:val="0"/>
        <w:adjustRightInd w:val="0"/>
        <w:rPr>
          <w:rFonts w:ascii="Times New Roman" w:hAnsi="Times New Roman" w:cs="Times New Roman"/>
          <w:b/>
          <w:bCs/>
          <w:sz w:val="21"/>
          <w:szCs w:val="21"/>
        </w:rPr>
      </w:pPr>
      <w:r>
        <w:rPr>
          <w:rFonts w:ascii="Times New Roman" w:hAnsi="Times New Roman" w:cs="Times New Roman"/>
          <w:sz w:val="21"/>
          <w:szCs w:val="21"/>
        </w:rPr>
        <w:tab/>
        <w:t xml:space="preserve"> (Solo nel caso in cui venga richiesta la sanzione o calcolati gli oneri ) fare raccomandata firma il dirigente e scrivere)</w:t>
      </w:r>
      <w:r>
        <w:rPr>
          <w:rFonts w:ascii="Times New Roman" w:hAnsi="Times New Roman" w:cs="Times New Roman"/>
          <w:b/>
          <w:bCs/>
          <w:sz w:val="21"/>
          <w:szCs w:val="21"/>
        </w:rPr>
        <w:t>Avverso il presente provvedimento può essere opposto ricorso davanti al competente T.A.R. entro 60 giorni dalla notifica della presente ovvero ricorso straordinario al Capo dello Stato entro 120 giorni dalla stessa data.</w:t>
      </w:r>
    </w:p>
    <w:p w:rsidR="002620A3" w:rsidRDefault="002620A3" w:rsidP="002620A3">
      <w:pPr>
        <w:autoSpaceDE w:val="0"/>
        <w:autoSpaceDN w:val="0"/>
        <w:adjustRightInd w:val="0"/>
        <w:rPr>
          <w:rFonts w:ascii="Calibri" w:hAnsi="Calibri" w:cs="Calibri"/>
        </w:rPr>
      </w:pPr>
    </w:p>
    <w:p w:rsidR="002620A3" w:rsidRDefault="002620A3" w:rsidP="002620A3">
      <w:pPr>
        <w:autoSpaceDE w:val="0"/>
        <w:autoSpaceDN w:val="0"/>
        <w:adjustRightInd w:val="0"/>
        <w:jc w:val="left"/>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tab/>
        <w:t>Distinti saluti.</w:t>
      </w:r>
    </w:p>
    <w:p w:rsidR="002620A3" w:rsidRDefault="002620A3" w:rsidP="002620A3">
      <w:pPr>
        <w:autoSpaceDE w:val="0"/>
        <w:autoSpaceDN w:val="0"/>
        <w:adjustRightInd w:val="0"/>
        <w:ind w:firstLine="709"/>
        <w:rPr>
          <w:rFonts w:ascii="Calibri" w:hAnsi="Calibri" w:cs="Calibri"/>
        </w:rPr>
      </w:pPr>
    </w:p>
    <w:tbl>
      <w:tblPr>
        <w:tblW w:w="0" w:type="auto"/>
        <w:tblLayout w:type="fixed"/>
        <w:tblCellMar>
          <w:left w:w="70" w:type="dxa"/>
          <w:right w:w="70" w:type="dxa"/>
        </w:tblCellMar>
        <w:tblLook w:val="0000"/>
      </w:tblPr>
      <w:tblGrid>
        <w:gridCol w:w="3756"/>
        <w:gridCol w:w="6022"/>
      </w:tblGrid>
      <w:tr w:rsidR="002620A3">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ind w:left="360"/>
              <w:jc w:val="center"/>
              <w:rPr>
                <w:rFonts w:ascii="Times New Roman" w:hAnsi="Times New Roman" w:cs="Times New Roman"/>
                <w:sz w:val="21"/>
                <w:szCs w:val="21"/>
              </w:rPr>
            </w:pPr>
            <w:r>
              <w:rPr>
                <w:rFonts w:ascii="Times New Roman" w:hAnsi="Times New Roman" w:cs="Times New Roman"/>
                <w:sz w:val="21"/>
                <w:szCs w:val="21"/>
              </w:rPr>
              <w:t>L’istruttore tecnico</w:t>
            </w:r>
          </w:p>
          <w:p w:rsidR="002620A3" w:rsidRDefault="002620A3">
            <w:pPr>
              <w:autoSpaceDE w:val="0"/>
              <w:autoSpaceDN w:val="0"/>
              <w:adjustRightInd w:val="0"/>
              <w:ind w:left="360"/>
              <w:jc w:val="center"/>
              <w:rPr>
                <w:rFonts w:ascii="Calibri" w:hAnsi="Calibri" w:cs="Calibri"/>
              </w:rPr>
            </w:pPr>
            <w:r>
              <w:rPr>
                <w:rFonts w:ascii="Times New Roman" w:hAnsi="Times New Roman" w:cs="Times New Roman"/>
                <w:sz w:val="21"/>
                <w:szCs w:val="21"/>
              </w:rPr>
              <w:t>[istruttore_tecnico]</w:t>
            </w: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ind w:left="360"/>
              <w:rPr>
                <w:rFonts w:ascii="Calibri" w:hAnsi="Calibri" w:cs="Calibri"/>
              </w:rPr>
            </w:pPr>
          </w:p>
        </w:tc>
      </w:tr>
      <w:tr w:rsidR="002620A3">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ind w:left="360"/>
              <w:rPr>
                <w:rFonts w:ascii="Calibri" w:hAnsi="Calibri" w:cs="Calibri"/>
              </w:rPr>
            </w:pP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2620A3" w:rsidRDefault="002620A3">
            <w:pPr>
              <w:autoSpaceDE w:val="0"/>
              <w:autoSpaceDN w:val="0"/>
              <w:adjustRightInd w:val="0"/>
              <w:ind w:left="360"/>
              <w:jc w:val="center"/>
              <w:rPr>
                <w:rFonts w:ascii="Times New Roman" w:hAnsi="Times New Roman" w:cs="Times New Roman"/>
                <w:sz w:val="21"/>
                <w:szCs w:val="21"/>
              </w:rPr>
            </w:pPr>
            <w:r>
              <w:rPr>
                <w:rFonts w:ascii="Times New Roman" w:hAnsi="Times New Roman" w:cs="Times New Roman"/>
                <w:sz w:val="21"/>
                <w:szCs w:val="21"/>
              </w:rPr>
              <w:t>Il  Responsabile del Servizio Edilizia Privata</w:t>
            </w:r>
          </w:p>
          <w:p w:rsidR="002620A3" w:rsidRDefault="002620A3">
            <w:pPr>
              <w:autoSpaceDE w:val="0"/>
              <w:autoSpaceDN w:val="0"/>
              <w:adjustRightInd w:val="0"/>
              <w:ind w:left="360"/>
              <w:jc w:val="center"/>
              <w:rPr>
                <w:rFonts w:ascii="Calibri" w:hAnsi="Calibri" w:cs="Calibri"/>
              </w:rPr>
            </w:pPr>
          </w:p>
          <w:p w:rsidR="002620A3" w:rsidRDefault="002620A3">
            <w:pPr>
              <w:autoSpaceDE w:val="0"/>
              <w:autoSpaceDN w:val="0"/>
              <w:adjustRightInd w:val="0"/>
              <w:jc w:val="center"/>
              <w:rPr>
                <w:rFonts w:ascii="Times New Roman" w:hAnsi="Times New Roman" w:cs="Times New Roman"/>
                <w:sz w:val="21"/>
                <w:szCs w:val="21"/>
              </w:rPr>
            </w:pPr>
            <w:r>
              <w:rPr>
                <w:rFonts w:ascii="Times New Roman" w:hAnsi="Times New Roman" w:cs="Times New Roman"/>
                <w:sz w:val="21"/>
                <w:szCs w:val="21"/>
              </w:rPr>
              <w:t>Il Dirigente</w:t>
            </w:r>
          </w:p>
          <w:p w:rsidR="002620A3" w:rsidRDefault="002620A3">
            <w:pPr>
              <w:autoSpaceDE w:val="0"/>
              <w:autoSpaceDN w:val="0"/>
              <w:adjustRightInd w:val="0"/>
              <w:ind w:left="360"/>
              <w:jc w:val="center"/>
              <w:rPr>
                <w:rFonts w:ascii="Calibri" w:hAnsi="Calibri" w:cs="Calibri"/>
              </w:rPr>
            </w:pPr>
          </w:p>
        </w:tc>
      </w:tr>
    </w:tbl>
    <w:p w:rsidR="002620A3" w:rsidRDefault="002620A3" w:rsidP="002620A3">
      <w:pPr>
        <w:autoSpaceDE w:val="0"/>
        <w:autoSpaceDN w:val="0"/>
        <w:adjustRightInd w:val="0"/>
        <w:ind w:firstLine="709"/>
        <w:rPr>
          <w:rFonts w:ascii="Calibri" w:hAnsi="Calibri" w:cs="Calibri"/>
        </w:rPr>
      </w:pPr>
    </w:p>
    <w:p w:rsidR="002620A3" w:rsidRDefault="002620A3" w:rsidP="002620A3">
      <w:pPr>
        <w:autoSpaceDE w:val="0"/>
        <w:autoSpaceDN w:val="0"/>
        <w:adjustRightInd w:val="0"/>
        <w:ind w:firstLine="709"/>
        <w:rPr>
          <w:rFonts w:ascii="Calibri" w:hAnsi="Calibri" w:cs="Calibri"/>
        </w:rPr>
      </w:pPr>
    </w:p>
    <w:p w:rsidR="002620A3" w:rsidRDefault="002620A3" w:rsidP="002620A3">
      <w:pPr>
        <w:autoSpaceDE w:val="0"/>
        <w:autoSpaceDN w:val="0"/>
        <w:adjustRightInd w:val="0"/>
        <w:jc w:val="left"/>
        <w:rPr>
          <w:rFonts w:ascii="Calibri" w:hAnsi="Calibri" w:cs="Calibri"/>
        </w:rPr>
      </w:pPr>
    </w:p>
    <w:p w:rsidR="002620A3" w:rsidRDefault="002620A3" w:rsidP="002620A3">
      <w:pPr>
        <w:autoSpaceDE w:val="0"/>
        <w:autoSpaceDN w:val="0"/>
        <w:adjustRightInd w:val="0"/>
        <w:jc w:val="left"/>
        <w:rPr>
          <w:rFonts w:ascii="Calibri" w:hAnsi="Calibri" w:cs="Calibri"/>
        </w:rPr>
      </w:pPr>
    </w:p>
    <w:p w:rsidR="002620A3" w:rsidRDefault="002620A3" w:rsidP="002620A3">
      <w:pPr>
        <w:autoSpaceDE w:val="0"/>
        <w:autoSpaceDN w:val="0"/>
        <w:adjustRightInd w:val="0"/>
        <w:ind w:left="567" w:right="567"/>
        <w:jc w:val="center"/>
        <w:rPr>
          <w:rFonts w:ascii="Times New Roman" w:hAnsi="Times New Roman" w:cs="Times New Roman"/>
          <w:sz w:val="21"/>
          <w:szCs w:val="21"/>
        </w:rPr>
      </w:pPr>
      <w:r>
        <w:rPr>
          <w:rFonts w:ascii="Times New Roman" w:hAnsi="Times New Roman" w:cs="Times New Roman"/>
          <w:sz w:val="21"/>
          <w:szCs w:val="21"/>
        </w:rPr>
        <w:t>NOTE  SULLE  FIDEIUSSIONI BANCARIE O POLIZZE FIDEIUSSORIE ASSICURATIVE PRESTATE  A  GARANZIA DI  OBBLIGHI E/O  ONERI  DERIVANTI  DA CONVENZIONI EDILIZIE</w:t>
      </w:r>
    </w:p>
    <w:p w:rsidR="002620A3" w:rsidRDefault="002620A3" w:rsidP="002620A3">
      <w:pPr>
        <w:autoSpaceDE w:val="0"/>
        <w:autoSpaceDN w:val="0"/>
        <w:adjustRightInd w:val="0"/>
        <w:ind w:left="567" w:right="567"/>
        <w:rPr>
          <w:rFonts w:ascii="Calibri" w:hAnsi="Calibri" w:cs="Calibri"/>
        </w:rPr>
      </w:pPr>
    </w:p>
    <w:p w:rsidR="002620A3" w:rsidRDefault="002620A3" w:rsidP="002620A3">
      <w:pPr>
        <w:autoSpaceDE w:val="0"/>
        <w:autoSpaceDN w:val="0"/>
        <w:adjustRightInd w:val="0"/>
        <w:ind w:left="567" w:right="567" w:firstLine="141"/>
        <w:rPr>
          <w:rFonts w:ascii="Times New Roman" w:hAnsi="Times New Roman" w:cs="Times New Roman"/>
          <w:sz w:val="21"/>
          <w:szCs w:val="21"/>
        </w:rPr>
      </w:pPr>
      <w:r>
        <w:rPr>
          <w:rFonts w:ascii="Times New Roman" w:hAnsi="Times New Roman" w:cs="Times New Roman"/>
          <w:sz w:val="21"/>
          <w:szCs w:val="21"/>
        </w:rPr>
        <w:t xml:space="preserve">  La fideiussione bancaria o polizza fideiussoria dovrà essere stipulata con imprese autorizzate ai sensi del T.U. approvato dal D.P.R. 13/02/1959.</w:t>
      </w:r>
    </w:p>
    <w:p w:rsidR="002620A3" w:rsidRDefault="002620A3" w:rsidP="002620A3">
      <w:pPr>
        <w:autoSpaceDE w:val="0"/>
        <w:autoSpaceDN w:val="0"/>
        <w:adjustRightInd w:val="0"/>
        <w:ind w:left="567" w:right="567"/>
        <w:rPr>
          <w:rFonts w:ascii="Times New Roman" w:hAnsi="Times New Roman" w:cs="Times New Roman"/>
          <w:sz w:val="21"/>
          <w:szCs w:val="21"/>
        </w:rPr>
      </w:pPr>
      <w:r>
        <w:rPr>
          <w:rFonts w:ascii="Times New Roman" w:hAnsi="Times New Roman" w:cs="Times New Roman"/>
          <w:sz w:val="21"/>
          <w:szCs w:val="21"/>
        </w:rPr>
        <w:lastRenderedPageBreak/>
        <w:t xml:space="preserve">    Nel caso in cui la polizza fideiussoria sia prestata da società assicurativa occorre che detta società garantisca di essere abilitata per il ramo cauzioni : deve essere, ad esempio, riportata la dicitura “impresa autorizzata all’esercizio delle assicurazioni  nel Ramo Cauzioni con decreto del Ministro dell’Industria del Commercio e dell’Artigianato n. *******”, ovvero “iscritta all’Albo dei gruppi creditizi **********” o analoga dicitura.</w:t>
      </w:r>
    </w:p>
    <w:p w:rsidR="002620A3" w:rsidRDefault="002620A3" w:rsidP="002620A3">
      <w:pPr>
        <w:autoSpaceDE w:val="0"/>
        <w:autoSpaceDN w:val="0"/>
        <w:adjustRightInd w:val="0"/>
        <w:ind w:left="567" w:right="567"/>
        <w:rPr>
          <w:rFonts w:ascii="Times New Roman" w:hAnsi="Times New Roman" w:cs="Times New Roman"/>
          <w:sz w:val="21"/>
          <w:szCs w:val="21"/>
        </w:rPr>
      </w:pPr>
      <w:r>
        <w:rPr>
          <w:rFonts w:ascii="Times New Roman" w:hAnsi="Times New Roman" w:cs="Times New Roman"/>
          <w:sz w:val="21"/>
          <w:szCs w:val="21"/>
        </w:rPr>
        <w:t xml:space="preserve">    Circa la forma dell’atto di garanzia, premesso che la materia è regolata dagli Art. 1936 e seguenti del Codice Civile sotto il titolo terzo (dei singoli contratti) si precisa  che le firme dei rappresentanti della Banca e delle Imprese di assicurazione devono essere autenticate da Notaio o da altro Pubblico Ufficiale. L’atto stesso è soggetto a bollo ai sensi del DPR 26/10/1972 numero 542 - Art. 1 della tariffa allegato A (parte 1^).  Per contro non v’è obbligo di registrazione, giusta l’Art. 5 della Tabella allegato B del D.P.R. 26/10/1972, numero 634.  Va inoltre ricordato che l’attestazione notarile o del Pubblico Ufficiale dell’autenticità delle firme dei Funzionari dell’istituto fideiussore, va completata con l’indicazione che i medesimi funzionari hanno poteri di firmare la garanzia stessa; infatti chi appone la firma deve essere legittimato a farlo in nome e per conto dell’istituto bancario o della compagnia assicurativa e deve essere altresì legittimato per quella tipologia di cauzione e quegli importi.</w:t>
      </w:r>
    </w:p>
    <w:p w:rsidR="002620A3" w:rsidRDefault="002620A3" w:rsidP="002620A3">
      <w:pPr>
        <w:autoSpaceDE w:val="0"/>
        <w:autoSpaceDN w:val="0"/>
        <w:adjustRightInd w:val="0"/>
        <w:ind w:left="567" w:right="567"/>
        <w:rPr>
          <w:rFonts w:ascii="Times New Roman" w:hAnsi="Times New Roman" w:cs="Times New Roman"/>
          <w:sz w:val="21"/>
          <w:szCs w:val="21"/>
        </w:rPr>
      </w:pPr>
      <w:r>
        <w:rPr>
          <w:rFonts w:ascii="Times New Roman" w:hAnsi="Times New Roman" w:cs="Times New Roman"/>
          <w:sz w:val="21"/>
          <w:szCs w:val="21"/>
        </w:rPr>
        <w:t>Sulla fideiussione o polizza fideiussoria devono essere riportate le seguenti informazioni:</w:t>
      </w:r>
    </w:p>
    <w:p w:rsidR="002620A3" w:rsidRDefault="002620A3" w:rsidP="002620A3">
      <w:pPr>
        <w:numPr>
          <w:ilvl w:val="0"/>
          <w:numId w:val="1"/>
        </w:numPr>
        <w:tabs>
          <w:tab w:val="left" w:pos="1287"/>
        </w:tabs>
        <w:autoSpaceDE w:val="0"/>
        <w:autoSpaceDN w:val="0"/>
        <w:adjustRightInd w:val="0"/>
        <w:ind w:left="927" w:right="567" w:hanging="360"/>
        <w:rPr>
          <w:rFonts w:ascii="Times New Roman" w:hAnsi="Times New Roman" w:cs="Times New Roman"/>
          <w:sz w:val="21"/>
          <w:szCs w:val="21"/>
        </w:rPr>
      </w:pPr>
      <w:r>
        <w:rPr>
          <w:rFonts w:ascii="Times New Roman" w:hAnsi="Times New Roman" w:cs="Times New Roman"/>
          <w:sz w:val="21"/>
          <w:szCs w:val="21"/>
        </w:rPr>
        <w:t>dati della banca o società assicurativa e relativa agenzia;</w:t>
      </w:r>
    </w:p>
    <w:p w:rsidR="002620A3" w:rsidRDefault="002620A3" w:rsidP="002620A3">
      <w:pPr>
        <w:numPr>
          <w:ilvl w:val="0"/>
          <w:numId w:val="1"/>
        </w:numPr>
        <w:tabs>
          <w:tab w:val="left" w:pos="1287"/>
        </w:tabs>
        <w:autoSpaceDE w:val="0"/>
        <w:autoSpaceDN w:val="0"/>
        <w:adjustRightInd w:val="0"/>
        <w:ind w:left="927" w:right="567" w:hanging="360"/>
        <w:rPr>
          <w:rFonts w:ascii="Times New Roman" w:hAnsi="Times New Roman" w:cs="Times New Roman"/>
          <w:sz w:val="21"/>
          <w:szCs w:val="21"/>
        </w:rPr>
      </w:pPr>
      <w:r>
        <w:rPr>
          <w:rFonts w:ascii="Times New Roman" w:hAnsi="Times New Roman" w:cs="Times New Roman"/>
          <w:sz w:val="21"/>
          <w:szCs w:val="21"/>
        </w:rPr>
        <w:t>dati del contraente la fideiussione;</w:t>
      </w:r>
    </w:p>
    <w:p w:rsidR="002620A3" w:rsidRDefault="002620A3" w:rsidP="002620A3">
      <w:pPr>
        <w:numPr>
          <w:ilvl w:val="0"/>
          <w:numId w:val="1"/>
        </w:numPr>
        <w:tabs>
          <w:tab w:val="left" w:pos="1287"/>
        </w:tabs>
        <w:autoSpaceDE w:val="0"/>
        <w:autoSpaceDN w:val="0"/>
        <w:adjustRightInd w:val="0"/>
        <w:ind w:left="927" w:right="567" w:hanging="360"/>
        <w:rPr>
          <w:rFonts w:ascii="Times New Roman" w:hAnsi="Times New Roman" w:cs="Times New Roman"/>
          <w:sz w:val="21"/>
          <w:szCs w:val="21"/>
        </w:rPr>
      </w:pPr>
      <w:r>
        <w:rPr>
          <w:rFonts w:ascii="Times New Roman" w:hAnsi="Times New Roman" w:cs="Times New Roman"/>
          <w:sz w:val="21"/>
          <w:szCs w:val="21"/>
        </w:rPr>
        <w:t>dati del beneficiario (Comune di La Spezia);</w:t>
      </w:r>
    </w:p>
    <w:p w:rsidR="002620A3" w:rsidRDefault="002620A3" w:rsidP="002620A3">
      <w:pPr>
        <w:numPr>
          <w:ilvl w:val="0"/>
          <w:numId w:val="1"/>
        </w:numPr>
        <w:tabs>
          <w:tab w:val="left" w:pos="1287"/>
        </w:tabs>
        <w:autoSpaceDE w:val="0"/>
        <w:autoSpaceDN w:val="0"/>
        <w:adjustRightInd w:val="0"/>
        <w:ind w:left="927" w:right="567" w:hanging="360"/>
        <w:rPr>
          <w:rFonts w:ascii="Times New Roman" w:hAnsi="Times New Roman" w:cs="Times New Roman"/>
          <w:sz w:val="21"/>
          <w:szCs w:val="21"/>
        </w:rPr>
      </w:pPr>
      <w:r>
        <w:rPr>
          <w:rFonts w:ascii="Times New Roman" w:hAnsi="Times New Roman" w:cs="Times New Roman"/>
          <w:sz w:val="21"/>
          <w:szCs w:val="21"/>
        </w:rPr>
        <w:t>importo della fideiussione;</w:t>
      </w:r>
    </w:p>
    <w:p w:rsidR="002620A3" w:rsidRDefault="002620A3" w:rsidP="002620A3">
      <w:pPr>
        <w:numPr>
          <w:ilvl w:val="0"/>
          <w:numId w:val="1"/>
        </w:numPr>
        <w:tabs>
          <w:tab w:val="left" w:pos="1287"/>
        </w:tabs>
        <w:autoSpaceDE w:val="0"/>
        <w:autoSpaceDN w:val="0"/>
        <w:adjustRightInd w:val="0"/>
        <w:ind w:left="927" w:right="567" w:hanging="360"/>
        <w:rPr>
          <w:rFonts w:ascii="Times New Roman" w:hAnsi="Times New Roman" w:cs="Times New Roman"/>
          <w:sz w:val="21"/>
          <w:szCs w:val="21"/>
        </w:rPr>
      </w:pPr>
      <w:r>
        <w:rPr>
          <w:rFonts w:ascii="Times New Roman" w:hAnsi="Times New Roman" w:cs="Times New Roman"/>
          <w:sz w:val="21"/>
          <w:szCs w:val="21"/>
        </w:rPr>
        <w:t>descrizione dell’oggetto di garanzia (opera da realizzare, oneri di urbanizzazione o conseguenti alla monetizzazione di aree verdi o parcheggi, ecc., in relazione al tipo di intervento edilizio da abilitare);</w:t>
      </w:r>
    </w:p>
    <w:p w:rsidR="002620A3" w:rsidRDefault="002620A3" w:rsidP="002620A3">
      <w:pPr>
        <w:numPr>
          <w:ilvl w:val="0"/>
          <w:numId w:val="1"/>
        </w:numPr>
        <w:tabs>
          <w:tab w:val="left" w:pos="1287"/>
        </w:tabs>
        <w:autoSpaceDE w:val="0"/>
        <w:autoSpaceDN w:val="0"/>
        <w:adjustRightInd w:val="0"/>
        <w:ind w:left="927" w:right="567" w:hanging="360"/>
        <w:rPr>
          <w:rFonts w:ascii="Times New Roman" w:hAnsi="Times New Roman" w:cs="Times New Roman"/>
          <w:sz w:val="21"/>
          <w:szCs w:val="21"/>
        </w:rPr>
      </w:pPr>
      <w:r>
        <w:rPr>
          <w:rFonts w:ascii="Times New Roman" w:hAnsi="Times New Roman" w:cs="Times New Roman"/>
          <w:sz w:val="21"/>
          <w:szCs w:val="21"/>
        </w:rPr>
        <w:t>riferimento alla convenzione e/o all’oggetto del permesso di costruire o della denuncia di inizio attività;</w:t>
      </w:r>
    </w:p>
    <w:p w:rsidR="002620A3" w:rsidRDefault="002620A3" w:rsidP="002620A3">
      <w:pPr>
        <w:numPr>
          <w:ilvl w:val="0"/>
          <w:numId w:val="1"/>
        </w:numPr>
        <w:tabs>
          <w:tab w:val="left" w:pos="1287"/>
        </w:tabs>
        <w:autoSpaceDE w:val="0"/>
        <w:autoSpaceDN w:val="0"/>
        <w:adjustRightInd w:val="0"/>
        <w:ind w:left="927" w:right="567" w:hanging="360"/>
        <w:rPr>
          <w:rFonts w:ascii="Times New Roman" w:hAnsi="Times New Roman" w:cs="Times New Roman"/>
          <w:sz w:val="21"/>
          <w:szCs w:val="21"/>
        </w:rPr>
      </w:pPr>
      <w:r>
        <w:rPr>
          <w:rFonts w:ascii="Times New Roman" w:hAnsi="Times New Roman" w:cs="Times New Roman"/>
          <w:sz w:val="21"/>
          <w:szCs w:val="21"/>
        </w:rPr>
        <w:t>rinuncia da parte del fideiussore (banca o assicurazione) al beneficio della preventiva escussione del debitore diretto di cui all’art. 1944 del C.C.;</w:t>
      </w:r>
    </w:p>
    <w:p w:rsidR="002620A3" w:rsidRDefault="002620A3" w:rsidP="002620A3">
      <w:pPr>
        <w:numPr>
          <w:ilvl w:val="0"/>
          <w:numId w:val="1"/>
        </w:numPr>
        <w:tabs>
          <w:tab w:val="left" w:pos="1287"/>
        </w:tabs>
        <w:autoSpaceDE w:val="0"/>
        <w:autoSpaceDN w:val="0"/>
        <w:adjustRightInd w:val="0"/>
        <w:ind w:left="927" w:right="567" w:hanging="360"/>
        <w:rPr>
          <w:rFonts w:ascii="Times New Roman" w:hAnsi="Times New Roman" w:cs="Times New Roman"/>
          <w:sz w:val="21"/>
          <w:szCs w:val="21"/>
        </w:rPr>
      </w:pPr>
      <w:r>
        <w:rPr>
          <w:rFonts w:ascii="Times New Roman" w:hAnsi="Times New Roman" w:cs="Times New Roman"/>
          <w:sz w:val="21"/>
          <w:szCs w:val="21"/>
        </w:rPr>
        <w:t>modalità di svincolo della fideiussione o polizza fideiussoria: dovrà essere indicato che la fideiussione ha validità ed efficacia fino alla liberazione da parte del Comune. Ciò potrà avvenire mediante consegna dell’originale della stessa con l’annotazione di svincolo, o con dichiarazione liberatoria del Comune che liberi il soggetto garante in ordine alla garanzia prestata.</w:t>
      </w:r>
    </w:p>
    <w:p w:rsidR="002620A3" w:rsidRDefault="002620A3" w:rsidP="002620A3">
      <w:pPr>
        <w:numPr>
          <w:ilvl w:val="0"/>
          <w:numId w:val="1"/>
        </w:numPr>
        <w:tabs>
          <w:tab w:val="left" w:pos="1287"/>
        </w:tabs>
        <w:autoSpaceDE w:val="0"/>
        <w:autoSpaceDN w:val="0"/>
        <w:adjustRightInd w:val="0"/>
        <w:ind w:left="927" w:right="567" w:hanging="360"/>
        <w:rPr>
          <w:rFonts w:ascii="Times New Roman" w:hAnsi="Times New Roman" w:cs="Times New Roman"/>
          <w:sz w:val="21"/>
          <w:szCs w:val="21"/>
        </w:rPr>
      </w:pPr>
      <w:r>
        <w:rPr>
          <w:rFonts w:ascii="Times New Roman" w:hAnsi="Times New Roman" w:cs="Times New Roman"/>
          <w:sz w:val="21"/>
          <w:szCs w:val="21"/>
        </w:rPr>
        <w:t>obbligo espresso della banca o impresa assicurativa ad effettuare, su semplice richiesta scritta del Comune ed entro il termine massimo di giorni 30, il pagamento delle somme dovute in relazione alla prestata fideiussione, senza che occorra il preventivo consenso del debitore principale che nulla potrà eccepire;</w:t>
      </w:r>
    </w:p>
    <w:p w:rsidR="002620A3" w:rsidRDefault="002620A3" w:rsidP="002620A3">
      <w:pPr>
        <w:numPr>
          <w:ilvl w:val="0"/>
          <w:numId w:val="1"/>
        </w:numPr>
        <w:tabs>
          <w:tab w:val="left" w:pos="1287"/>
        </w:tabs>
        <w:autoSpaceDE w:val="0"/>
        <w:autoSpaceDN w:val="0"/>
        <w:adjustRightInd w:val="0"/>
        <w:ind w:left="927" w:right="567" w:hanging="360"/>
        <w:rPr>
          <w:rFonts w:ascii="Times New Roman" w:hAnsi="Times New Roman" w:cs="Times New Roman"/>
          <w:sz w:val="21"/>
          <w:szCs w:val="21"/>
        </w:rPr>
      </w:pPr>
      <w:r>
        <w:rPr>
          <w:rFonts w:ascii="Times New Roman" w:hAnsi="Times New Roman" w:cs="Times New Roman"/>
          <w:sz w:val="21"/>
          <w:szCs w:val="21"/>
        </w:rPr>
        <w:t>firma autenticata dal notaio, con riferimento esplicito al potere di firma della persona firmataria ed ai suoi dati personali, nonché alle sue mansioni all’interno della banca o impresa assicurativa.</w:t>
      </w:r>
    </w:p>
    <w:p w:rsidR="005927DD" w:rsidRDefault="005927DD" w:rsidP="005927DD">
      <w:pPr>
        <w:autoSpaceDE w:val="0"/>
        <w:autoSpaceDN w:val="0"/>
        <w:adjustRightInd w:val="0"/>
        <w:rPr>
          <w:rFonts w:ascii="Calibri" w:hAnsi="Calibri" w:cs="Calibri"/>
        </w:rPr>
      </w:pPr>
    </w:p>
    <w:p w:rsidR="00F00272" w:rsidRPr="005927DD" w:rsidRDefault="00F00272" w:rsidP="005927DD"/>
    <w:sectPr w:rsidR="00F00272" w:rsidRPr="005927DD"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023" w:rsidRDefault="003E6023" w:rsidP="009B365B">
      <w:r>
        <w:separator/>
      </w:r>
    </w:p>
  </w:endnote>
  <w:endnote w:type="continuationSeparator" w:id="1">
    <w:p w:rsidR="003E6023" w:rsidRDefault="003E6023"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023" w:rsidRDefault="003E6023" w:rsidP="009B365B">
      <w:r>
        <w:separator/>
      </w:r>
    </w:p>
  </w:footnote>
  <w:footnote w:type="continuationSeparator" w:id="1">
    <w:p w:rsidR="003E6023" w:rsidRDefault="003E6023"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2391B"/>
    <w:rsid w:val="000337AF"/>
    <w:rsid w:val="000F3137"/>
    <w:rsid w:val="00136E62"/>
    <w:rsid w:val="001529EB"/>
    <w:rsid w:val="001A0C75"/>
    <w:rsid w:val="0025118C"/>
    <w:rsid w:val="002620A3"/>
    <w:rsid w:val="00337FD8"/>
    <w:rsid w:val="00394AFD"/>
    <w:rsid w:val="003973D0"/>
    <w:rsid w:val="003E6023"/>
    <w:rsid w:val="00464C26"/>
    <w:rsid w:val="004718BB"/>
    <w:rsid w:val="005417D7"/>
    <w:rsid w:val="005927DD"/>
    <w:rsid w:val="006C2F4A"/>
    <w:rsid w:val="00902480"/>
    <w:rsid w:val="009B365B"/>
    <w:rsid w:val="00AF7A70"/>
    <w:rsid w:val="00B13D38"/>
    <w:rsid w:val="00B92926"/>
    <w:rsid w:val="00BE7048"/>
    <w:rsid w:val="00C847E3"/>
    <w:rsid w:val="00CA11EB"/>
    <w:rsid w:val="00D75509"/>
    <w:rsid w:val="00E268FC"/>
    <w:rsid w:val="00E33383"/>
    <w:rsid w:val="00E824A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620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E23F31"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E23F31"/>
    <w:rsid w:val="00E748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23F3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2240</Words>
  <Characters>12769</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2015-06-04T14:41:00Z</dcterms:created>
  <dcterms:modified xsi:type="dcterms:W3CDTF">2015-06-05T07:17:00Z</dcterms:modified>
</cp:coreProperties>
</file>