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8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4"/>
        <w:gridCol w:w="5879"/>
      </w:tblGrid>
      <w:tr>
        <w:trPr>
          <w:cantSplit w:val="false"/>
        </w:trPr>
        <w:tc>
          <w:tcPr>
            <w:tcW w:w="37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Prot. n. [protocollo]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37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[richiedenti.indirizzo]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Provvedimento per [oggetto]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Per opportuna conoscenza si trasmette in allegato il provvedimento rilasciato per [oggetto] in [ubicazione]</w:t>
      </w:r>
    </w:p>
    <w:p>
      <w:pPr>
        <w:pStyle w:val="Corpodeltesto"/>
        <w:widowControl/>
        <w:rPr/>
      </w:pPr>
      <w:r>
        <w:rPr/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6018"/>
      </w:tblGrid>
      <w:tr>
        <w:trPr>
          <w:cantSplit w:val="false"/>
        </w:trPr>
        <w:tc>
          <w:tcPr>
            <w:tcW w:w="3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  <w:p>
            <w:pPr>
              <w:pStyle w:val="Contenutotabella"/>
              <w:jc w:val="center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8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revision>0</cp:revision>
</cp:coreProperties>
</file>