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>RACCOMANDATA A.R.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p>
      <w:pPr>
        <w:pStyle w:val="Corpodeltesto"/>
        <w:widowControl/>
        <w:jc w:val="both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OGGETTO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richiesta informazioni in merito a fabbricato sito in [ubicazione]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segnala che, a seguito di presentazione di istanza d'accertamento compatibilità paesaggistica ai sensi dell'art.167 del Dl.Lgs.42/04 o comunicazione ai sensi art.48 L.R. 16/08 da parte di un condomino per la propria unità immobiliare, relativa ad opere eseguite in difformità dai titoli autorizzativi rilasciati da questo ente nello stabile da Lei gestito, è emerso che tali opere parrebbero estese a tutto l'edificio o comunque a porzioni di esso.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Pertanto alla luce di quanto sopra espresso si invita la S.V. ad effettuare le dovute verifiche sulla conformità dell'intero stabile da Lei amministrato e a fornire chiarimenti e/o a regolarizzare le eventuali opere eseguite in difformità, ai sensi delle vigenti normative.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 evidenzia che in caso di mancato riscontro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entro un termine di 120 giorni dal ricevimento della presente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questo Settore attiverà le procedure di controllo e verifica della situazione ed emetterà, nel caso, i provvedimenti di competenza precisando che, ai sensi della vigente normativa, tali provvedimenti saranno indirizzati agli attuali proprietari oltre che all'esecutore materiale se diverso dall'attuale proprietà.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 chiarimenti lo scrivente Ufficio riceve il pubblico nei giorni di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7"/>
      </w:tblGrid>
      <w:tr>
        <w:trPr>
          <w:trHeight w:val="975" w:hRule="atLeast"/>
          <w:cantSplit w:val="false"/>
        </w:trPr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IL DIRIGENTE DEL SETTORE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Urbanistica - Lavori Pubblici - Ambiente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