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0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9295" cy="100584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ind w:left="4891" w:right="0" w:hanging="0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64"/>
        <w:gridCol w:w="5879"/>
      </w:tblGrid>
      <w:tr>
        <w:trPr>
          <w:cantSplit w:val="false"/>
        </w:trPr>
        <w:tc>
          <w:tcPr>
            <w:tcW w:w="37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Prot. n. [protocollo]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E, p.c.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SOPRINTENDENZA BENI AMBIENTALI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ED ARCHITETTONICI DELLA LIGURIA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Spett.le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REGIONE LIGURIA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Dipartimento Pianificazione Territoriale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Servizio Tutela del Paesaggio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 Fieschi, 15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GENOVA</w:t>
            </w:r>
          </w:p>
        </w:tc>
      </w:tr>
      <w:tr>
        <w:trPr>
          <w:cantSplit w:val="false"/>
        </w:trPr>
        <w:tc>
          <w:tcPr>
            <w:tcW w:w="37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[richiedenti.nominativo;block=tbs:row]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[richiedenti.indirizzo]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[richiedenti.cap] [richiedenti.comune]-[richiedenti.prov]</w:t>
            </w:r>
          </w:p>
        </w:tc>
      </w:tr>
    </w:tbl>
    <w:p>
      <w:pPr>
        <w:pStyle w:val="Corpodeltesto"/>
        <w:widowControl/>
        <w:ind w:left="4891" w:right="0" w:hanging="0"/>
        <w:rPr/>
      </w:pPr>
      <w:r>
        <w:rPr/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Applicazione artt.146 D.L.vo 22.01.2004, n. 42.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Paesaggio: [data_rilascio_clp] n. [numero_parere_clp]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applicazione al  comma 11 dell'art.146 di cui al Decreto L.vo n.42 del 22.01.2004, si trasmette  il provvedimento di [oggetto] in [ubicazione]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Alla Regione Liguria, che legge per conoscenza, si invia altresì il parere di competenza rilasciato, ai sensi dell'art. 146 , comma 5 del D.Lgs 42/04, dalla Soprintendenza per i Beni Architettonici e Paesaggistici della Liguria.</w:t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6018"/>
      </w:tblGrid>
      <w:tr>
        <w:trPr>
          <w:cantSplit w:val="false"/>
        </w:trPr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0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revision>0</cp:revision>
</cp:coreProperties>
</file>