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200"/>
        <w:gridCol w:w="6510"/>
      </w:tblGrid>
      <w:tr>
        <w:trPr>
          <w:cantSplit w:val="false"/>
        </w:trPr>
        <w:tc>
          <w:tcPr>
            <w:tcW w:w="1200" w:type="dxa"/>
            <w:tcBorders>
              <w:top w:val="nil"/>
              <w:left w:val="nil"/>
              <w:bottom w:val="nil"/>
              <w:insideH w:val="nil"/>
              <w:right w:val="nil"/>
              <w:insideV w:val="nil"/>
            </w:tcBorders>
            <w:shd w:fill="auto" w:val="clear"/>
            <w:vAlign w:val="center"/>
          </w:tcPr>
          <w:p>
            <w:pPr>
              <w:pStyle w:val="Normal"/>
              <w:rPr/>
            </w:pPr>
            <w:r>
              <w:rPr/>
              <w:drawing>
                <wp:inline distT="0" distB="0" distL="0" distR="0">
                  <wp:extent cx="713740" cy="95186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713740" cy="951865"/>
                          </a:xfrm>
                          <a:prstGeom prst="rect">
                            <a:avLst/>
                          </a:prstGeom>
                          <a:noFill/>
                          <a:ln w="9525">
                            <a:noFill/>
                            <a:miter lim="800000"/>
                            <a:headEnd/>
                            <a:tailEnd/>
                          </a:ln>
                        </pic:spPr>
                      </pic:pic>
                    </a:graphicData>
                  </a:graphic>
                </wp:inline>
              </w:drawing>
            </w:r>
          </w:p>
        </w:tc>
        <w:tc>
          <w:tcPr>
            <w:tcW w:w="6510" w:type="dxa"/>
            <w:tcBorders>
              <w:top w:val="nil"/>
              <w:left w:val="nil"/>
              <w:bottom w:val="nil"/>
              <w:insideH w:val="nil"/>
              <w:right w:val="nil"/>
              <w:insideV w:val="nil"/>
            </w:tcBorders>
            <w:shd w:fill="auto" w:val="clear"/>
            <w:vAlign w:val="center"/>
          </w:tcPr>
          <w:tbl>
            <w:tblPr>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3870"/>
            </w:tblGrid>
            <w:tr>
              <w:trPr>
                <w:cantSplit w:val="false"/>
              </w:trPr>
              <w:tc>
                <w:tcPr>
                  <w:tcW w:w="3870" w:type="dxa"/>
                  <w:tcBorders>
                    <w:top w:val="nil"/>
                    <w:left w:val="nil"/>
                    <w:bottom w:val="nil"/>
                    <w:insideH w:val="nil"/>
                    <w:right w:val="nil"/>
                    <w:insideV w:val="nil"/>
                  </w:tcBorders>
                  <w:shd w:fill="auto" w:val="clear"/>
                  <w:vAlign w:val="center"/>
                </w:tcPr>
                <w:p>
                  <w:pPr>
                    <w:pStyle w:val="Normal"/>
                    <w:jc w:val="center"/>
                    <w:rPr>
                      <w:sz w:val="38"/>
                      <w:szCs w:val="38"/>
                    </w:rPr>
                  </w:pPr>
                  <w:r>
                    <w:rPr>
                      <w:b/>
                      <w:bCs/>
                      <w:sz w:val="38"/>
                      <w:szCs w:val="38"/>
                    </w:rPr>
                    <w:t>COMUNE di TAGGIA</w:t>
                  </w:r>
                  <w:r>
                    <w:rPr>
                      <w:sz w:val="38"/>
                      <w:szCs w:val="38"/>
                    </w:rPr>
                    <w:t xml:space="preserve"> </w:t>
                  </w:r>
                </w:p>
              </w:tc>
            </w:tr>
            <w:tr>
              <w:trPr>
                <w:cantSplit w:val="false"/>
              </w:trPr>
              <w:tc>
                <w:tcPr>
                  <w:tcW w:w="3870" w:type="dxa"/>
                  <w:tcBorders>
                    <w:top w:val="nil"/>
                    <w:left w:val="nil"/>
                    <w:bottom w:val="nil"/>
                    <w:insideH w:val="nil"/>
                    <w:right w:val="nil"/>
                    <w:insideV w:val="nil"/>
                  </w:tcBorders>
                  <w:shd w:fill="auto" w:val="clear"/>
                  <w:vAlign w:val="center"/>
                </w:tcPr>
                <w:p>
                  <w:pPr>
                    <w:pStyle w:val="Normal"/>
                    <w:jc w:val="center"/>
                    <w:rPr>
                      <w:sz w:val="18"/>
                      <w:szCs w:val="18"/>
                    </w:rPr>
                  </w:pPr>
                  <w:r>
                    <w:rPr>
                      <w:sz w:val="18"/>
                      <w:szCs w:val="18"/>
                    </w:rPr>
                    <w:t xml:space="preserve">PROVINCIA DI IMPERIA </w:t>
                  </w:r>
                </w:p>
              </w:tc>
            </w:tr>
            <w:tr>
              <w:trPr>
                <w:trHeight w:val="300" w:hRule="atLeast"/>
                <w:cantSplit w:val="false"/>
              </w:trPr>
              <w:tc>
                <w:tcPr>
                  <w:tcW w:w="3870" w:type="dxa"/>
                  <w:tcBorders>
                    <w:top w:val="nil"/>
                    <w:left w:val="nil"/>
                    <w:bottom w:val="nil"/>
                    <w:insideH w:val="nil"/>
                    <w:right w:val="nil"/>
                    <w:insideV w:val="nil"/>
                  </w:tcBorders>
                  <w:shd w:fill="auto" w:val="clear"/>
                  <w:vAlign w:val="center"/>
                </w:tcPr>
                <w:p>
                  <w:pPr>
                    <w:pStyle w:val="Normal"/>
                    <w:snapToGrid w:val="false"/>
                    <w:rPr>
                      <w:sz w:val="20"/>
                      <w:szCs w:val="20"/>
                    </w:rPr>
                  </w:pPr>
                  <w:r>
                    <w:rPr>
                      <w:sz w:val="20"/>
                      <w:szCs w:val="20"/>
                    </w:rPr>
                  </w:r>
                </w:p>
              </w:tc>
            </w:tr>
            <w:tr>
              <w:trPr>
                <w:cantSplit w:val="false"/>
              </w:trPr>
              <w:tc>
                <w:tcPr>
                  <w:tcW w:w="3870" w:type="dxa"/>
                  <w:tcBorders>
                    <w:top w:val="nil"/>
                    <w:left w:val="nil"/>
                    <w:bottom w:val="nil"/>
                    <w:insideH w:val="nil"/>
                    <w:right w:val="nil"/>
                    <w:insideV w:val="nil"/>
                  </w:tcBorders>
                  <w:shd w:fill="auto" w:val="clear"/>
                  <w:vAlign w:val="center"/>
                </w:tcPr>
                <w:p>
                  <w:pPr>
                    <w:pStyle w:val="Normal"/>
                    <w:rPr>
                      <w:sz w:val="14"/>
                      <w:szCs w:val="14"/>
                      <w:u w:val="single"/>
                    </w:rPr>
                  </w:pPr>
                  <w:r>
                    <w:rPr>
                      <w:sz w:val="14"/>
                      <w:szCs w:val="14"/>
                      <w:u w:val="single"/>
                    </w:rPr>
                    <w:t>RIPARTIZIONE TECNICA</w:t>
                  </w:r>
                </w:p>
              </w:tc>
            </w:tr>
            <w:tr>
              <w:trPr>
                <w:cantSplit w:val="false"/>
              </w:trPr>
              <w:tc>
                <w:tcPr>
                  <w:tcW w:w="3870" w:type="dxa"/>
                  <w:tcBorders>
                    <w:top w:val="nil"/>
                    <w:left w:val="nil"/>
                    <w:bottom w:val="nil"/>
                    <w:insideH w:val="nil"/>
                    <w:right w:val="nil"/>
                    <w:insideV w:val="nil"/>
                  </w:tcBorders>
                  <w:shd w:fill="auto" w:val="clear"/>
                  <w:vAlign w:val="center"/>
                </w:tcPr>
                <w:p>
                  <w:pPr>
                    <w:pStyle w:val="Normal"/>
                    <w:rPr>
                      <w:sz w:val="14"/>
                      <w:szCs w:val="14"/>
                    </w:rPr>
                  </w:pPr>
                  <w:r>
                    <w:rPr>
                      <w:sz w:val="14"/>
                      <w:szCs w:val="14"/>
                    </w:rPr>
                    <w:t>SPORTELLO UNICO PER L'EDILIZIA</w:t>
                  </w:r>
                </w:p>
              </w:tc>
            </w:tr>
          </w:tbl>
          <w:p>
            <w:pPr>
              <w:pStyle w:val="Normal"/>
              <w:rPr/>
            </w:pPr>
            <w:r>
              <w:rPr/>
            </w:r>
          </w:p>
        </w:tc>
      </w:tr>
    </w:tbl>
    <w:p>
      <w:pPr>
        <w:pStyle w:val="NormaleWeb"/>
        <w:jc w:val="center"/>
        <w:rPr/>
      </w:pPr>
      <w:r>
        <w:rPr/>
      </w:r>
    </w:p>
    <w:p>
      <w:pPr>
        <w:pStyle w:val="NormaleWeb"/>
        <w:rPr>
          <w:sz w:val="18"/>
        </w:rPr>
      </w:pPr>
      <w:r>
        <w:rPr>
          <w:sz w:val="18"/>
        </w:rPr>
        <w:t>Prot. __________</w:t>
      </w:r>
    </w:p>
    <w:p>
      <w:pPr>
        <w:pStyle w:val="NormaleWeb"/>
        <w:rPr>
          <w:sz w:val="18"/>
        </w:rPr>
      </w:pPr>
      <w:r>
        <w:rPr>
          <w:sz w:val="18"/>
        </w:rPr>
      </w:r>
    </w:p>
    <w:p>
      <w:pPr>
        <w:pStyle w:val="NormaleWeb"/>
        <w:rPr>
          <w:sz w:val="18"/>
        </w:rPr>
      </w:pPr>
      <w:r>
        <w:rPr>
          <w:sz w:val="18"/>
        </w:rPr>
        <w:t>OGGETTO: Certificato di destinazione urbanistica, ai sensi del 3° Comma dell'art.30 del D.P.R. 06/06/2001,n.380 e succ. modif. ed integr.</w:t>
      </w:r>
    </w:p>
    <w:p>
      <w:pPr>
        <w:pStyle w:val="NormaleWeb"/>
        <w:rPr>
          <w:sz w:val="18"/>
        </w:rPr>
      </w:pPr>
      <w:r>
        <w:rPr>
          <w:sz w:val="18"/>
        </w:rPr>
      </w:r>
    </w:p>
    <w:p>
      <w:pPr>
        <w:pStyle w:val="NormaleWeb"/>
        <w:jc w:val="center"/>
        <w:rPr>
          <w:b/>
          <w:bCs/>
          <w:sz w:val="18"/>
        </w:rPr>
      </w:pPr>
      <w:r>
        <w:rPr>
          <w:b/>
          <w:bCs/>
          <w:sz w:val="18"/>
        </w:rPr>
        <w:t>IL RESPONSABILE DELLO SPORTELLO UNICO PER L'EDILIZIA</w:t>
      </w:r>
    </w:p>
    <w:p>
      <w:pPr>
        <w:pStyle w:val="NormaleWeb"/>
        <w:jc w:val="center"/>
        <w:rPr>
          <w:sz w:val="18"/>
        </w:rPr>
      </w:pPr>
      <w:r>
        <w:rPr>
          <w:sz w:val="18"/>
        </w:rPr>
      </w:r>
    </w:p>
    <w:p>
      <w:pPr>
        <w:pStyle w:val="NormaleWeb"/>
        <w:rPr>
          <w:sz w:val="18"/>
        </w:rPr>
      </w:pPr>
      <w:r>
        <w:rPr>
          <w:sz w:val="18"/>
        </w:rPr>
        <w:t>Vista la richiesta di:</w:t>
      </w:r>
      <w:r>
        <w:rPr>
          <w:b/>
          <w:bCs/>
          <w:sz w:val="18"/>
        </w:rPr>
        <w:t xml:space="preserve"> </w:t>
      </w:r>
      <w:r>
        <w:rPr>
          <w:b/>
          <w:bCs/>
          <w:sz w:val="18"/>
        </w:rPr>
        <w:t>[richiedente_cdu]</w:t>
      </w:r>
      <w:r>
        <w:rPr>
          <w:b/>
          <w:bCs/>
          <w:sz w:val="18"/>
        </w:rPr>
        <w:t xml:space="preserve"> </w:t>
      </w:r>
      <w:r>
        <w:rPr>
          <w:sz w:val="18"/>
        </w:rPr>
        <w:t xml:space="preserve">pervenuta in data </w:t>
      </w:r>
      <w:r>
        <w:rPr>
          <w:sz w:val="18"/>
        </w:rPr>
        <w:t>[data_protocollo_richiesta_cdu]</w:t>
      </w:r>
      <w:r>
        <w:rPr>
          <w:sz w:val="18"/>
        </w:rPr>
        <w:t xml:space="preserve">, prot. n° </w:t>
      </w:r>
      <w:r>
        <w:rPr>
          <w:sz w:val="18"/>
        </w:rPr>
        <w:t>[numero_protocollo_richiesta_cdu]</w:t>
      </w:r>
      <w:r>
        <w:rPr>
          <w:sz w:val="18"/>
        </w:rPr>
        <w:t>;</w:t>
      </w:r>
    </w:p>
    <w:p>
      <w:pPr>
        <w:pStyle w:val="NormaleWeb"/>
        <w:rPr>
          <w:sz w:val="18"/>
        </w:rPr>
      </w:pPr>
      <w:r>
        <w:rPr>
          <w:sz w:val="18"/>
        </w:rPr>
      </w:r>
    </w:p>
    <w:p>
      <w:pPr>
        <w:pStyle w:val="NormaleWeb"/>
        <w:rPr>
          <w:sz w:val="18"/>
        </w:rPr>
      </w:pPr>
      <w:r>
        <w:rPr>
          <w:sz w:val="18"/>
        </w:rPr>
        <w:t>Visti gli atti del Piano Regolatore Generale e delle successive varianti;</w:t>
      </w:r>
    </w:p>
    <w:p>
      <w:pPr>
        <w:pStyle w:val="NormaleWeb"/>
        <w:rPr>
          <w:sz w:val="18"/>
        </w:rPr>
      </w:pPr>
      <w:r>
        <w:rPr>
          <w:sz w:val="18"/>
        </w:rPr>
      </w:r>
    </w:p>
    <w:p>
      <w:pPr>
        <w:pStyle w:val="NormaleWeb"/>
        <w:jc w:val="center"/>
        <w:rPr>
          <w:b/>
          <w:bCs/>
          <w:sz w:val="18"/>
        </w:rPr>
      </w:pPr>
      <w:r>
        <w:rPr>
          <w:b/>
          <w:bCs/>
          <w:sz w:val="18"/>
        </w:rPr>
        <w:t>C E R T I F I C A</w:t>
      </w:r>
    </w:p>
    <w:p>
      <w:pPr>
        <w:pStyle w:val="NormaleWeb"/>
        <w:jc w:val="center"/>
        <w:rPr>
          <w:sz w:val="18"/>
        </w:rPr>
      </w:pPr>
      <w:r>
        <w:rPr>
          <w:sz w:val="18"/>
        </w:rPr>
      </w:r>
    </w:p>
    <w:p>
      <w:pPr>
        <w:pStyle w:val="NormaleWeb"/>
        <w:rPr>
          <w:sz w:val="18"/>
        </w:rPr>
      </w:pPr>
      <w:r>
        <w:rPr>
          <w:sz w:val="18"/>
        </w:rPr>
        <w:t>che i sottoelencati immobili ricadono nelle zone urbanistiche accanto a ciascun mappale indicato:</w:t>
      </w:r>
    </w:p>
    <w:p>
      <w:pPr>
        <w:pStyle w:val="NormaleWeb"/>
        <w:rPr>
          <w:sz w:val="18"/>
        </w:rPr>
      </w:pPr>
      <w:r>
        <w:rPr>
          <w:sz w:val="18"/>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913"/>
        <w:gridCol w:w="900"/>
        <w:gridCol w:w="1925"/>
        <w:gridCol w:w="3972"/>
        <w:gridCol w:w="1928"/>
      </w:tblGrid>
      <w:tr>
        <w:trPr>
          <w:cantSplit w:val="false"/>
        </w:trPr>
        <w:tc>
          <w:tcPr>
            <w:tcW w:w="91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rPr>
                <w:sz w:val="18"/>
                <w:szCs w:val="18"/>
              </w:rPr>
            </w:pPr>
            <w:r>
              <w:rPr>
                <w:sz w:val="18"/>
                <w:szCs w:val="18"/>
              </w:rPr>
              <w:t>[mappali_cdu.foglio;block=tbs:row]</w:t>
            </w:r>
          </w:p>
        </w:tc>
        <w:tc>
          <w:tcPr>
            <w:tcW w:w="90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rPr>
                <w:sz w:val="18"/>
                <w:szCs w:val="18"/>
              </w:rPr>
            </w:pPr>
            <w:r>
              <w:rPr>
                <w:sz w:val="18"/>
                <w:szCs w:val="18"/>
              </w:rPr>
              <w:t>[mappali_cdu.mappale]</w:t>
            </w:r>
          </w:p>
        </w:tc>
        <w:tc>
          <w:tcPr>
            <w:tcW w:w="192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rPr>
                <w:sz w:val="18"/>
                <w:szCs w:val="18"/>
              </w:rPr>
            </w:pPr>
            <w:r>
              <w:rPr>
                <w:sz w:val="18"/>
                <w:szCs w:val="18"/>
              </w:rPr>
              <w:t>[mappali_cdu.zona]</w:t>
            </w:r>
          </w:p>
        </w:tc>
        <w:tc>
          <w:tcPr>
            <w:tcW w:w="397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rPr>
                <w:sz w:val="18"/>
                <w:szCs w:val="18"/>
              </w:rPr>
            </w:pPr>
            <w:r>
              <w:rPr>
                <w:sz w:val="18"/>
                <w:szCs w:val="18"/>
              </w:rPr>
              <w:t>[mappali_cdu.percarea]</w:t>
            </w:r>
          </w:p>
        </w:tc>
        <w:tc>
          <w:tcPr>
            <w:tcW w:w="19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rPr>
                <w:sz w:val="18"/>
                <w:szCs w:val="18"/>
              </w:rPr>
            </w:pPr>
            <w:r>
              <w:rPr>
                <w:sz w:val="18"/>
                <w:szCs w:val="18"/>
              </w:rPr>
            </w:r>
          </w:p>
        </w:tc>
      </w:tr>
    </w:tbl>
    <w:p>
      <w:pPr>
        <w:pStyle w:val="NormaleWeb"/>
        <w:rPr>
          <w:sz w:val="18"/>
        </w:rPr>
      </w:pPr>
      <w:r>
        <w:rPr>
          <w:sz w:val="18"/>
        </w:rPr>
      </w:r>
    </w:p>
    <w:p>
      <w:pPr>
        <w:pStyle w:val="NormaleWeb"/>
        <w:rPr>
          <w:sz w:val="18"/>
        </w:rPr>
      </w:pPr>
      <w:r>
        <w:rPr>
          <w:sz w:val="18"/>
        </w:rPr>
      </w:r>
    </w:p>
    <w:p>
      <w:pPr>
        <w:pStyle w:val="NormaleWeb"/>
        <w:rPr>
          <w:sz w:val="18"/>
        </w:rPr>
      </w:pPr>
      <w:r>
        <w:rPr>
          <w:sz w:val="18"/>
        </w:rPr>
      </w:r>
    </w:p>
    <w:p>
      <w:pPr>
        <w:pStyle w:val="NormaleWeb"/>
        <w:rPr>
          <w:sz w:val="18"/>
        </w:rPr>
      </w:pPr>
      <w:r>
        <w:rPr>
          <w:sz w:val="18"/>
        </w:rPr>
        <w:t>La normativa di P.R.G. delle zone suddette e' integralmente sottoriportata.</w:t>
      </w:r>
    </w:p>
    <w:p>
      <w:pPr>
        <w:pStyle w:val="NormaleWeb"/>
        <w:rPr>
          <w:b/>
          <w:bCs/>
          <w:sz w:val="18"/>
          <w:szCs w:val="27"/>
        </w:rPr>
      </w:pPr>
      <w:r>
        <w:rPr>
          <w:b/>
          <w:bCs/>
          <w:sz w:val="18"/>
          <w:szCs w:val="27"/>
        </w:rPr>
      </w:r>
    </w:p>
    <w:p>
      <w:pPr>
        <w:pStyle w:val="NormaleWeb"/>
        <w:rPr>
          <w:b/>
          <w:bCs/>
          <w:sz w:val="18"/>
          <w:szCs w:val="27"/>
        </w:rPr>
      </w:pPr>
      <w:r>
        <w:rPr>
          <w:b/>
          <w:bCs/>
          <w:sz w:val="18"/>
          <w:szCs w:val="27"/>
        </w:rPr>
        <w:t xml:space="preserve">Art. 5 </w:t>
      </w:r>
      <w:r>
        <w:rPr>
          <w:sz w:val="18"/>
          <w:szCs w:val="27"/>
        </w:rPr>
        <w:t xml:space="preserve">- </w:t>
      </w:r>
      <w:r>
        <w:rPr>
          <w:b/>
          <w:bCs/>
          <w:sz w:val="18"/>
          <w:szCs w:val="27"/>
        </w:rPr>
        <w:t>DESTINAZIONE D’USO</w:t>
      </w:r>
    </w:p>
    <w:p>
      <w:pPr>
        <w:pStyle w:val="NormaleWeb"/>
        <w:rPr>
          <w:sz w:val="14"/>
          <w:szCs w:val="14"/>
        </w:rPr>
      </w:pPr>
      <w:r>
        <w:rPr>
          <w:sz w:val="14"/>
          <w:szCs w:val="14"/>
        </w:rPr>
      </w:r>
    </w:p>
    <w:p>
      <w:pPr>
        <w:pStyle w:val="NormaleWeb"/>
        <w:rPr>
          <w:sz w:val="18"/>
        </w:rPr>
      </w:pPr>
      <w:r>
        <w:rPr>
          <w:sz w:val="18"/>
        </w:rPr>
        <w:t>La destinazione d’uso (DU) dei suoli e degli edifici, nonché di parti dei medesimi deve rispettare le prescrizioni delle presenti N.A..</w:t>
        <w:br/>
        <w:t>Il cambiamento di destinazione d’uso, anche se non comporta l’esecuzione di opere edilizie, è sottoposto a concessione edilizia. Non può essere rilasciata licenza di agibilità o di abitabilità per costruzioni o parti di esse che presentino destinazioni diverse da quelle previste dalla concessione edilizia. Nell’ambito delle volumetrie esistenti per le porzioni aventi destinazioni incompatibili con quelle prescritte in ogni singola zona, nel caso di mantenimento di dette destinazioni incompatibili, sono ammesse soltanto opere di ordinaria manutenzione e di restauro e risanamento conservativo.</w:t>
        <w:br/>
        <w:t>Costituiscono specifiche DU quelle in appresso elencate:</w:t>
      </w:r>
    </w:p>
    <w:p>
      <w:pPr>
        <w:pStyle w:val="NormaleWeb"/>
        <w:rPr>
          <w:sz w:val="18"/>
        </w:rPr>
      </w:pPr>
      <w:r>
        <w:rPr>
          <w:sz w:val="18"/>
        </w:rPr>
        <w:t>1) abitazioni;</w:t>
        <w:br/>
        <w:t>2) abitazioni connesse alla conduzione agraria dei fondi;</w:t>
        <w:br/>
        <w:t>3) abitazioni connesse agli impianti artigianali e/o industriali;</w:t>
        <w:br/>
        <w:t>4) abitazioni stagionali connesse e/o compatibili alla conduzione agraria dei fondi; ricettività agrituristica;</w:t>
        <w:br/>
        <w:t>5) - 6) aziende ricettive alberghiero alberghiero-residenziali;</w:t>
        <w:br/>
        <w:t>7) uffici pubblici statali, parastatali, comunali, sedi di istituto di diritto pubblico,di enti previdenziali, assistenziali o di beneficenza;</w:t>
        <w:br/>
        <w:t>8) attività amministrative dì servizio (come agenzie di banche, istituti dì credito e di assicurazione, agenzie turistiche e di viaggio, ambulatori medici e veterinari, ecc.);</w:t>
        <w:br/>
        <w:t>9) uffici privati e studi professionali;</w:t>
        <w:br/>
        <w:t>10) esercizi commerciali e paracommerciali al dettaglio (come bar, ristoranti, tavole calde, farmacie, rivendite di sali e tabacchi), botteghe per attività artigianali non moleste (come lavanderie, parrucchieri, barbieri, sartorie, scuole guida, ecc.);</w:t>
        <w:br/>
        <w:t>11) botteghe per attività artigianali di servizio (come idraulico, fabbro, falegname,tappezziere, carrozziere, meccanico, elettrauto, ecc.) ed artistiche con superficie non superiore a mq. 400;</w:t>
        <w:br/>
        <w:t>12) impianti (stabilimenti e opifici) artigianali, escluse le botteghe; depositi integrati nell’unità produttiva;</w:t>
        <w:br/>
        <w:t>13) impianti (stabilimenti e opifici) industriali, depositi integrati nell’unità produttiva; servizi aziendali ed interaziendali (mense, infermerie, spogliatoi, ecc.);</w:t>
        <w:br/>
        <w:t>14) depositi e magazzini non di vendita;</w:t>
        <w:br/>
        <w:t>15) depositi e magazzini non di vendita ubicati nei locali sotterranei</w:t>
        <w:br/>
        <w:t>16) depositi di prodotti petroliferi e infiammabili;</w:t>
        <w:br/>
        <w:t>17) esercizi commerciali all’ingrosso:</w:t>
        <w:br/>
        <w:t>18) annessi rustici;</w:t>
        <w:br/>
        <w:t>19) insediamenti produttivi di tipo agricolo;</w:t>
        <w:br/>
        <w:t>20) serre;</w:t>
        <w:br/>
        <w:t>21) serbatoi idrici;</w:t>
        <w:br/>
        <w:t>22) campeggi o villaggi turistici, aziende ricettive all’aria aperta;</w:t>
        <w:br/>
        <w:t>23) edifici ed attrezzature private per la cultura, lo spettacolo ed il tempo libero;</w:t>
        <w:br/>
        <w:t>24) attrezzature per il verde pubblico, il gioco e lo sport;</w:t>
        <w:br/>
        <w:t>25) attrezzature per la pubblica istruzione: scuole materne, scuole dell’obbligo;</w:t>
        <w:br/>
        <w:t>26) attrezzature per l’istruzione superiore;</w:t>
        <w:br/>
        <w:t>27) attrezzature per i servizi generali e collettivi: attrezzature per l’esercizio del culto e delle funzioni connesse, attrezzature destinate alle attività partecipative, amministrative, culturali, sociali, associative, sanitarie, assistenziali e ricreative;</w:t>
        <w:br/>
        <w:t>28) impianti tecnologici: impianti per la produzione e distribuzione energetica, depositi e rimesse di mezzi di trasporto pubblico, impianti di depurazione delle acque, centrali telefoniche ed elettriche, ecc.;</w:t>
        <w:br/>
        <w:t>29) impianti di distribuzione carburanti;</w:t>
        <w:br/>
        <w:t>30) edifici e complessi destinati a servizi vari (stazioni ferroviarie, autoporti, ecc.);</w:t>
        <w:br/>
        <w:t>31) parcheggi;</w:t>
        <w:br/>
        <w:t>32) autorimesse,autosili, parcheggi in elevazione;</w:t>
        <w:br/>
        <w:t>33) attrezzature connesse alla balneazione;</w:t>
        <w:br/>
        <w:t>34) approdi turistici;</w:t>
        <w:br/>
        <w:t xml:space="preserve">35) servizi connessi agli approdi turistici. </w:t>
      </w:r>
    </w:p>
    <w:p>
      <w:pPr>
        <w:pStyle w:val="NormaleWeb"/>
        <w:rPr>
          <w:b/>
          <w:bCs/>
          <w:sz w:val="18"/>
          <w:szCs w:val="27"/>
        </w:rPr>
      </w:pPr>
      <w:r>
        <w:rPr>
          <w:b/>
          <w:bCs/>
          <w:sz w:val="18"/>
          <w:szCs w:val="27"/>
        </w:rPr>
      </w:r>
    </w:p>
    <w:p>
      <w:pPr>
        <w:pStyle w:val="NormaleWeb"/>
        <w:rPr>
          <w:b/>
          <w:bCs/>
          <w:sz w:val="18"/>
          <w:szCs w:val="27"/>
        </w:rPr>
      </w:pPr>
      <w:r>
        <w:rPr>
          <w:b/>
          <w:bCs/>
          <w:sz w:val="18"/>
          <w:szCs w:val="27"/>
        </w:rPr>
        <w:t xml:space="preserve">Art. 6 </w:t>
      </w:r>
      <w:r>
        <w:rPr>
          <w:sz w:val="18"/>
          <w:szCs w:val="27"/>
        </w:rPr>
        <w:t xml:space="preserve">- </w:t>
      </w:r>
      <w:r>
        <w:rPr>
          <w:b/>
          <w:bCs/>
          <w:sz w:val="18"/>
          <w:szCs w:val="27"/>
        </w:rPr>
        <w:t>INTERVENTI</w:t>
      </w:r>
    </w:p>
    <w:p>
      <w:pPr>
        <w:pStyle w:val="NormaleWeb"/>
        <w:rPr>
          <w:sz w:val="14"/>
          <w:szCs w:val="14"/>
        </w:rPr>
      </w:pPr>
      <w:r>
        <w:rPr>
          <w:sz w:val="14"/>
          <w:szCs w:val="14"/>
        </w:rPr>
      </w:r>
    </w:p>
    <w:p>
      <w:pPr>
        <w:pStyle w:val="NormaleWeb"/>
        <w:rPr>
          <w:sz w:val="18"/>
        </w:rPr>
      </w:pPr>
      <w:r>
        <w:rPr>
          <w:sz w:val="18"/>
        </w:rPr>
        <w:t>Gli interventi sono suddivisi secondo la seguente classificazione:</w:t>
      </w:r>
    </w:p>
    <w:p>
      <w:pPr>
        <w:pStyle w:val="NormaleWeb"/>
        <w:rPr>
          <w:sz w:val="18"/>
        </w:rPr>
      </w:pPr>
      <w:r>
        <w:rPr>
          <w:b/>
          <w:bCs/>
          <w:sz w:val="18"/>
        </w:rPr>
        <w:t>a) interventi relativi agli edifici</w:t>
      </w:r>
      <w:r>
        <w:rPr>
          <w:sz w:val="18"/>
        </w:rPr>
        <w:br/>
        <w:t>1. nuove costruzioni;</w:t>
        <w:br/>
        <w:t>2. ampliamenti;</w:t>
        <w:br/>
        <w:t>3. sopraelevazioni;</w:t>
        <w:br/>
        <w:t>4. manutenzione ordinaria;</w:t>
        <w:br/>
        <w:t>5. manutenzione straordinaria;</w:t>
        <w:br/>
        <w:t>6. restauro e risanamento conservativo;</w:t>
        <w:br/>
        <w:t>7. ristrutturazione edilizia;</w:t>
        <w:br/>
        <w:t>8. ristrutturazione urbanistica;</w:t>
        <w:br/>
        <w:t>9. cambiamento della destinazione d’uso;</w:t>
        <w:br/>
        <w:t>10. aumento volumetrico;</w:t>
        <w:br/>
        <w:t>11. demolizione;</w:t>
      </w:r>
    </w:p>
    <w:p>
      <w:pPr>
        <w:pStyle w:val="NormaleWeb"/>
        <w:rPr>
          <w:b/>
          <w:bCs/>
          <w:sz w:val="18"/>
        </w:rPr>
      </w:pPr>
      <w:r>
        <w:rPr>
          <w:b/>
          <w:bCs/>
          <w:sz w:val="18"/>
        </w:rPr>
        <w:t>b) interventi relativi alla trasformazione dei suoli</w:t>
      </w:r>
    </w:p>
    <w:p>
      <w:pPr>
        <w:pStyle w:val="NormaleWeb"/>
        <w:rPr>
          <w:sz w:val="18"/>
        </w:rPr>
      </w:pPr>
      <w:r>
        <w:rPr>
          <w:sz w:val="18"/>
        </w:rPr>
        <w:t>1. sistemazione del terreno a giardino e verde alberato;</w:t>
        <w:br/>
        <w:t>2. realizzazione di locali totalmente interrati rispetto al profilo sistemato della sola apertura dell’accesso;</w:t>
        <w:br/>
        <w:t>3. costruzione di attrezzature private quali piscine e campi da tennis;</w:t>
        <w:br/>
        <w:t>4. miglioramento forestale e cioè l’insieme delle operazioni occorrenti al ripristino ed alla valorizzazione dell’ambiente naturale, mantenendo l’equilibrio delle specie vegetali dominanti;</w:t>
        <w:br/>
        <w:t>5. potenziamento forestale e cioè l’insieme delle opere volte sia al miglioramento di cui al precedente punto 4) sia alla conservazione evolutiva delle specie vegetali esistenti;</w:t>
        <w:br/>
        <w:t>6. riconversione forestale e cioè l’insieme delle opere volte contemporaneamente sia al miglioramento sia alla sostituzione delle specie forestali esistenti;</w:t>
        <w:br/>
        <w:t>7. costruzione di attrezzature sportive;</w:t>
        <w:br/>
        <w:t>8. apertura di percorsi escursionistici.</w:t>
      </w:r>
    </w:p>
    <w:p>
      <w:pPr>
        <w:pStyle w:val="Normal"/>
        <w:rPr>
          <w:b/>
          <w:bCs/>
          <w:sz w:val="18"/>
        </w:rPr>
      </w:pPr>
      <w:r>
        <w:rPr>
          <w:b/>
          <w:bCs/>
          <w:sz w:val="18"/>
        </w:rPr>
      </w:r>
    </w:p>
    <w:p>
      <w:pPr>
        <w:pStyle w:val="NormaleWeb"/>
        <w:rPr>
          <w:b/>
          <w:bCs/>
          <w:sz w:val="18"/>
        </w:rPr>
      </w:pPr>
      <w:r>
        <w:rPr>
          <w:b/>
          <w:bCs/>
          <w:sz w:val="18"/>
        </w:rPr>
        <w:t xml:space="preserve">Art. 23 </w:t>
      </w:r>
      <w:r>
        <w:rPr>
          <w:sz w:val="18"/>
        </w:rPr>
        <w:t xml:space="preserve">- </w:t>
      </w:r>
      <w:r>
        <w:rPr>
          <w:b/>
          <w:bCs/>
          <w:sz w:val="18"/>
        </w:rPr>
        <w:t>ZONE AGRICOLE</w:t>
      </w:r>
    </w:p>
    <w:p>
      <w:pPr>
        <w:pStyle w:val="NormaleWeb"/>
        <w:rPr>
          <w:b/>
          <w:bCs/>
          <w:sz w:val="14"/>
          <w:szCs w:val="14"/>
        </w:rPr>
      </w:pPr>
      <w:r>
        <w:rPr>
          <w:b/>
          <w:bCs/>
          <w:sz w:val="14"/>
          <w:szCs w:val="14"/>
        </w:rPr>
      </w:r>
    </w:p>
    <w:p>
      <w:pPr>
        <w:pStyle w:val="NormaleWeb"/>
        <w:rPr>
          <w:b/>
          <w:bCs/>
          <w:sz w:val="18"/>
        </w:rPr>
      </w:pPr>
      <w:r>
        <w:rPr>
          <w:b/>
          <w:bCs/>
          <w:sz w:val="18"/>
        </w:rPr>
        <w:t>Norme generali</w:t>
      </w:r>
    </w:p>
    <w:p>
      <w:pPr>
        <w:pStyle w:val="NormaleWeb"/>
        <w:rPr>
          <w:sz w:val="18"/>
        </w:rPr>
      </w:pPr>
      <w:r>
        <w:rPr>
          <w:sz w:val="18"/>
        </w:rPr>
        <w:t>La volumetria massima residenziale, purché connessa alla conduzione agraria dei fondi, non deve superare i mc. 500.</w:t>
      </w:r>
    </w:p>
    <w:p>
      <w:pPr>
        <w:pStyle w:val="NormaleWeb"/>
        <w:rPr>
          <w:sz w:val="18"/>
        </w:rPr>
      </w:pPr>
      <w:r>
        <w:rPr>
          <w:sz w:val="18"/>
        </w:rPr>
        <w:t>Nel caso di non raggiungimento della prescritta entità minima superficiale dell’azienda agricola vitale, sono assentibili nelle sole zone E, E</w:t>
      </w:r>
      <w:r>
        <w:rPr>
          <w:sz w:val="18"/>
          <w:vertAlign w:val="subscript"/>
        </w:rPr>
        <w:t>1</w:t>
      </w:r>
      <w:r>
        <w:rPr>
          <w:sz w:val="18"/>
        </w:rPr>
        <w:t>, E</w:t>
      </w:r>
      <w:r>
        <w:rPr>
          <w:sz w:val="18"/>
          <w:vertAlign w:val="subscript"/>
        </w:rPr>
        <w:t>2</w:t>
      </w:r>
      <w:r>
        <w:rPr>
          <w:sz w:val="18"/>
        </w:rPr>
        <w:t>, E</w:t>
      </w:r>
      <w:r>
        <w:rPr>
          <w:sz w:val="18"/>
          <w:vertAlign w:val="subscript"/>
        </w:rPr>
        <w:t>3</w:t>
      </w:r>
      <w:r>
        <w:rPr>
          <w:sz w:val="18"/>
        </w:rPr>
        <w:t xml:space="preserve"> esclusivamente opere volte alla realizzazione degli annessi rustici, secondo i parametri indicati nelle singole zone predette; nell’ambito di tali annessi rustici è consentita la destinazione, di un vano della superficie massima di mq. 12,00, a ricovero temporaneo dell’agricoltore.</w:t>
      </w:r>
    </w:p>
    <w:p>
      <w:pPr>
        <w:pStyle w:val="NormaleWeb"/>
        <w:rPr>
          <w:sz w:val="18"/>
        </w:rPr>
      </w:pPr>
      <w:r>
        <w:rPr>
          <w:sz w:val="18"/>
        </w:rPr>
        <w:t>Per gli edifici esistenti, adibiti ad usi agricoli, sono ammesse le DU di cui all’Art. 5 nn. 2, 4, 18 e 19 e, oltre le opere di ordinaria e straordinaria manutenzione, mediante concessione edilizia diretta gli interventi di cui all’Art. 6-a) nn. 2; 3; 6; 7; 10 e 11; l’ampliamento del volume residenziale è ammesso nella misura massima del 20%</w:t>
      </w:r>
      <w:r>
        <w:rPr>
          <w:b/>
          <w:bCs/>
          <w:sz w:val="18"/>
        </w:rPr>
        <w:t xml:space="preserve"> </w:t>
      </w:r>
      <w:r>
        <w:rPr>
          <w:sz w:val="18"/>
        </w:rPr>
        <w:t>fino alla concorrenza del volume massimo di cui al precedente 1° comma e la demolizione e la ricostruzione, comprensiva anche dell’ampliamento sopra indicato, per inderogabili motivi statici o di tutela della pubblica utilità, è ammessa purché in ogni caso vengano rigorosamente rispettati i parametri indicati per ogni singola zona, con la sola esclusione dell’If, nonché le caratteristiche costruttive e l’uso dei materiali tradizionali.</w:t>
      </w:r>
    </w:p>
    <w:p>
      <w:pPr>
        <w:pStyle w:val="NormaleWeb"/>
        <w:rPr>
          <w:sz w:val="18"/>
        </w:rPr>
      </w:pPr>
      <w:r>
        <w:rPr>
          <w:sz w:val="18"/>
        </w:rPr>
        <w:t>Per le costruzioni esistenti nelle fasce di rispetto delle strade, l’ampliamento può essere concesso solo se la costruzione non sopravanza l’esistente verso il fronte da cui ha origine il rispetto, a condizione che la distanza minima del manufatto dalla strada sia di m. 3,00. Ove la costruzione esistente sopravanzi il limite minimo di m. 3,00 di distanza dal ciglio stradale, gli interventi di ristrutturazione e/o ampliamento della costruzione sono consentiti solo a condizione che vengano eliminati gli elementi costitutivi dell’edificio medesimo posti a distanza inferiore a m. 3,00, la volumetria relativa ai quali può essere realizzata, nel rispetto della suddetta distanza, in contiguità alla porzione di fabbricato di cui si prevede il mantenimento.</w:t>
      </w:r>
    </w:p>
    <w:p>
      <w:pPr>
        <w:pStyle w:val="NormaleWeb"/>
        <w:rPr>
          <w:sz w:val="18"/>
        </w:rPr>
      </w:pPr>
      <w:r>
        <w:rPr>
          <w:sz w:val="18"/>
        </w:rPr>
        <w:t>Per gli edifici esistenti non adibiti ad usi agricoli, qualora si intenda mantenere l’attuale DU, oltre le opere di ordinaria e straordinaria manutenzione, sono consentiti, tramite concessione edilizia diretta, solamente gli interventi di cui all’Art. 6-a) nn. 6 e 7, a condizione che non ne consegua aumento del numero delle attuali unità immobiliari d’uso residenziale.</w:t>
      </w:r>
    </w:p>
    <w:p>
      <w:pPr>
        <w:pStyle w:val="NormaleWeb"/>
        <w:rPr>
          <w:sz w:val="18"/>
        </w:rPr>
      </w:pPr>
      <w:r>
        <w:rPr>
          <w:sz w:val="18"/>
        </w:rPr>
        <w:t>Nel caso di esproprio o di acquisizione bonaria di edificio di abitazione per la realizzazione di strade o loro ampliamenti, e comunque di opere pubbliche in genere, può essere consentita la ricostruzione di egual volume nell’ambito della identica zona agricola omogenea, nel rispetto dei parametri previsti zona per zona dalle presenti N.A., con l’esclusione dello If.</w:t>
      </w:r>
    </w:p>
    <w:p>
      <w:pPr>
        <w:pStyle w:val="NormaleWeb"/>
        <w:rPr>
          <w:sz w:val="18"/>
        </w:rPr>
      </w:pPr>
      <w:r>
        <w:rPr>
          <w:sz w:val="18"/>
        </w:rPr>
        <w:t>Nella nuova edificazione di tutte le zone agricole, salvo specifica e diversa normativa indicata nell’ambito delle singole zone agricole, sia di case di abitazione sia di annessi rustici sia di insediamenti produttivi dì tipo agricolo, sono comunque da rispettare le distanze minime a protezione dei nastri stradali, misurate a partire dal ciglio stradale, così come stabilite dagli Artt. 3 e 4 del D.M. 1.4.1968, n. 1404, ad eccezione delle strade comunali non carrabili e delle strade vicinali per le quali la distanza minima è stabilita in m. 5,00.</w:t>
      </w:r>
    </w:p>
    <w:p>
      <w:pPr>
        <w:pStyle w:val="NormaleWeb"/>
        <w:rPr>
          <w:b/>
          <w:bCs/>
          <w:sz w:val="14"/>
          <w:szCs w:val="14"/>
        </w:rPr>
      </w:pPr>
      <w:r>
        <w:rPr>
          <w:b/>
          <w:bCs/>
          <w:sz w:val="14"/>
          <w:szCs w:val="14"/>
        </w:rPr>
      </w:r>
    </w:p>
    <w:p>
      <w:pPr>
        <w:pStyle w:val="NormaleWeb"/>
        <w:rPr>
          <w:b/>
          <w:bCs/>
          <w:sz w:val="18"/>
        </w:rPr>
      </w:pPr>
      <w:r>
        <w:rPr>
          <w:b/>
          <w:bCs/>
          <w:sz w:val="18"/>
        </w:rPr>
        <w:t>Serbatoi d’acqua</w:t>
      </w:r>
    </w:p>
    <w:p>
      <w:pPr>
        <w:pStyle w:val="NormaleWeb"/>
        <w:rPr>
          <w:sz w:val="18"/>
        </w:rPr>
      </w:pPr>
      <w:r>
        <w:rPr>
          <w:sz w:val="18"/>
        </w:rPr>
        <w:t>Nelle zone agricole è consentita la realizzazione di serbatoi d’acqua. Essi possono essere messi a confine solo quando esiste l’accordo tra i confinanti, che deve essere formalizzato nei termini di legge; in caso contrario a distanza di detti serbatoi dai confini di proprietà non può essere inferiore all’altezza della parte di serbatoio emergente dal terreno.</w:t>
      </w:r>
    </w:p>
    <w:p>
      <w:pPr>
        <w:pStyle w:val="NormaleWeb"/>
        <w:rPr>
          <w:sz w:val="18"/>
        </w:rPr>
      </w:pPr>
      <w:r>
        <w:rPr>
          <w:sz w:val="18"/>
        </w:rPr>
        <w:t>L’altezza massima della parte dì serbatoi di acqua emergente dal terreno non deve superare i m. 3,50.</w:t>
      </w:r>
    </w:p>
    <w:p>
      <w:pPr>
        <w:pStyle w:val="NormaleWeb"/>
        <w:rPr>
          <w:sz w:val="18"/>
        </w:rPr>
      </w:pPr>
      <w:r>
        <w:rPr>
          <w:sz w:val="18"/>
        </w:rPr>
        <w:t>Di massima i serbatoi possono essere scoperti; è obbligatoria la loro copertura sia quando detti manufatti si trovano a valle di strade carrabili ad una distanza minore di m. 3,00 dal ciglio stradale ed a una quota inferiore a quella del sedime stradale prospiciente il serbatoio, (ed in tal caso la struttura di copertura deve essere portante) sia in prossimità di aree edificate a carattere residenziale.</w:t>
      </w:r>
    </w:p>
    <w:p>
      <w:pPr>
        <w:pStyle w:val="NormaleWeb"/>
        <w:rPr>
          <w:b/>
          <w:bCs/>
          <w:sz w:val="14"/>
          <w:szCs w:val="14"/>
        </w:rPr>
      </w:pPr>
      <w:r>
        <w:rPr>
          <w:b/>
          <w:bCs/>
          <w:sz w:val="14"/>
          <w:szCs w:val="14"/>
        </w:rPr>
      </w:r>
    </w:p>
    <w:p>
      <w:pPr>
        <w:pStyle w:val="NormaleWeb"/>
        <w:rPr>
          <w:b/>
          <w:bCs/>
          <w:sz w:val="18"/>
        </w:rPr>
      </w:pPr>
      <w:r>
        <w:rPr>
          <w:b/>
          <w:bCs/>
          <w:sz w:val="18"/>
        </w:rPr>
        <w:t>Serre</w:t>
      </w:r>
    </w:p>
    <w:p>
      <w:pPr>
        <w:pStyle w:val="NormaleWeb"/>
        <w:rPr>
          <w:sz w:val="18"/>
        </w:rPr>
      </w:pPr>
      <w:r>
        <w:rPr>
          <w:sz w:val="18"/>
        </w:rPr>
        <w:t>Le serre, intese nei termini di cui all’Art. 1 della L.R. 1.6.1976 n. 17, possono essere impiantate nel rispetto dei seguenti parametri:</w:t>
      </w:r>
    </w:p>
    <w:p>
      <w:pPr>
        <w:pStyle w:val="Normal"/>
        <w:rPr>
          <w:sz w:val="18"/>
        </w:rPr>
      </w:pPr>
      <w:r>
        <w:rPr>
          <w:sz w:val="18"/>
        </w:rPr>
        <w:t>H = m. 6,00 aI colmo</w:t>
        <w:br/>
        <w:t>Dc = m. 2,00 o a confine quando esiste formale accordo tra le parti confinanti</w:t>
        <w:br/>
        <w:t>Df</w:t>
      </w:r>
      <w:r>
        <w:rPr>
          <w:sz w:val="18"/>
          <w:vertAlign w:val="subscript"/>
        </w:rPr>
        <w:t xml:space="preserve">1 </w:t>
      </w:r>
      <w:r>
        <w:rPr>
          <w:sz w:val="18"/>
        </w:rPr>
        <w:t>= m. 6,00</w:t>
        <w:br/>
        <w:t>Df</w:t>
      </w:r>
      <w:r>
        <w:rPr>
          <w:sz w:val="18"/>
          <w:vertAlign w:val="subscript"/>
        </w:rPr>
        <w:t xml:space="preserve">2 </w:t>
      </w:r>
      <w:r>
        <w:rPr>
          <w:sz w:val="18"/>
        </w:rPr>
        <w:t>= m. 3,00</w:t>
        <w:br/>
        <w:t>Ds = m. 3,00 per strade di larghezza compresa tra m. 3,00 e m. 7,00</w:t>
        <w:br/>
        <w:t>Ds = m. 6,00 per strade di larghezza compresa tra m. 7,00 e m. 15,00</w:t>
        <w:br/>
        <w:t>Ds = m. 10,00 per strade di larghezza maggiore di m. 15,00</w:t>
        <w:br/>
        <w:t>Ds</w:t>
      </w:r>
      <w:r>
        <w:rPr>
          <w:sz w:val="18"/>
          <w:vertAlign w:val="subscript"/>
        </w:rPr>
        <w:t xml:space="preserve">1 </w:t>
      </w:r>
      <w:r>
        <w:rPr>
          <w:sz w:val="18"/>
        </w:rPr>
        <w:t>= m. 3,00</w:t>
        <w:br/>
        <w:t>L’altezza massima dei muri di sostegno e di contenimento m. 3,00</w:t>
        <w:br/>
        <w:t>Rc = 0,75 mq/mq. del lotto interessato dall’intervento nelle zone E’</w:t>
      </w:r>
      <w:r>
        <w:rPr>
          <w:sz w:val="18"/>
          <w:vertAlign w:val="subscript"/>
        </w:rPr>
        <w:t>s</w:t>
      </w:r>
      <w:r>
        <w:rPr>
          <w:sz w:val="18"/>
        </w:rPr>
        <w:t>, E’’</w:t>
      </w:r>
      <w:r>
        <w:rPr>
          <w:sz w:val="18"/>
          <w:vertAlign w:val="subscript"/>
        </w:rPr>
        <w:t>s</w:t>
      </w:r>
      <w:r>
        <w:rPr>
          <w:sz w:val="18"/>
        </w:rPr>
        <w:t>, E’’’</w:t>
      </w:r>
      <w:r>
        <w:rPr>
          <w:sz w:val="18"/>
          <w:vertAlign w:val="subscript"/>
        </w:rPr>
        <w:t xml:space="preserve"> s</w:t>
      </w:r>
      <w:r>
        <w:rPr>
          <w:sz w:val="18"/>
        </w:rPr>
        <w:t>, E</w:t>
      </w:r>
      <w:r>
        <w:rPr>
          <w:sz w:val="18"/>
          <w:vertAlign w:val="subscript"/>
        </w:rPr>
        <w:t>7</w:t>
      </w:r>
      <w:r>
        <w:rPr>
          <w:sz w:val="18"/>
        </w:rPr>
        <w:t>, E</w:t>
      </w:r>
      <w:r>
        <w:rPr>
          <w:sz w:val="18"/>
          <w:vertAlign w:val="subscript"/>
        </w:rPr>
        <w:t>8</w:t>
      </w:r>
      <w:r>
        <w:rPr>
          <w:sz w:val="18"/>
        </w:rPr>
        <w:t>.</w:t>
      </w:r>
      <w:r>
        <w:rPr>
          <w:sz w:val="18"/>
          <w:vertAlign w:val="subscript"/>
        </w:rPr>
        <w:t xml:space="preserve"> </w:t>
        <w:br/>
      </w:r>
      <w:r>
        <w:rPr>
          <w:sz w:val="18"/>
        </w:rPr>
        <w:t>Rc = 0,65 mq/mq. del lotto interessato nella zona E’’’</w:t>
      </w:r>
      <w:r>
        <w:rPr>
          <w:sz w:val="18"/>
          <w:vertAlign w:val="subscript"/>
        </w:rPr>
        <w:t xml:space="preserve"> s</w:t>
      </w:r>
      <w:r>
        <w:rPr>
          <w:sz w:val="18"/>
        </w:rPr>
        <w:t>, - sottozona n.i.</w:t>
        <w:br/>
        <w:t>Rc = 0,40 mq/mq. della superficie disponibile nelle zone E, E</w:t>
      </w:r>
      <w:r>
        <w:rPr>
          <w:sz w:val="18"/>
          <w:vertAlign w:val="subscript"/>
        </w:rPr>
        <w:t>1</w:t>
      </w:r>
      <w:r>
        <w:rPr>
          <w:sz w:val="18"/>
        </w:rPr>
        <w:t>, E</w:t>
      </w:r>
      <w:r>
        <w:rPr>
          <w:sz w:val="18"/>
          <w:vertAlign w:val="subscript"/>
        </w:rPr>
        <w:t>3</w:t>
      </w:r>
      <w:r>
        <w:rPr>
          <w:sz w:val="18"/>
        </w:rPr>
        <w:t>, E</w:t>
      </w:r>
      <w:r>
        <w:rPr>
          <w:sz w:val="18"/>
          <w:vertAlign w:val="subscript"/>
        </w:rPr>
        <w:t xml:space="preserve">11 </w:t>
      </w:r>
      <w:r>
        <w:rPr>
          <w:sz w:val="18"/>
        </w:rPr>
        <w:t>da realizzare nelle aree di radura non alberate.</w:t>
      </w:r>
    </w:p>
    <w:p>
      <w:pPr>
        <w:pStyle w:val="NormaleWeb"/>
        <w:rPr>
          <w:sz w:val="18"/>
        </w:rPr>
      </w:pPr>
      <w:r>
        <w:rPr>
          <w:sz w:val="18"/>
        </w:rPr>
        <w:t>Negli elaborati di progetto devono essere chiaramente indicate e previste tutte le opere di convogliamento e raccolta delle acque meteoriche e di quelle eventualmente derivanti dall’esercizio dell’impianto, opportunamente depurate ai sensi delle leggi vigenti, atte a garantirne il regolare smaltimento e deflusso in corsi d’acqua e nelle difese, senza alterare l’equilibrio geologico del territorio interessato.</w:t>
      </w:r>
    </w:p>
    <w:p>
      <w:pPr>
        <w:pStyle w:val="Normal"/>
        <w:rPr>
          <w:sz w:val="18"/>
        </w:rPr>
      </w:pPr>
      <w:r>
        <w:rPr>
          <w:sz w:val="18"/>
        </w:rPr>
        <w:t>L’esecuzione di tali opere deve essere realizzata contestualmente alle serre.</w:t>
        <w:br/>
        <w:t>E’ in ogni caso vietato il convogliamento superficiale delle acque meteoriche sulle strade.</w:t>
        <w:br/>
        <w:t>Per ogni impianto dovrà essere prevista una piazzola per la distruzione in loco dei prodotti di scarto. La superficie del servizio, da realizzarsi contestualmente alla serra, dovrà essere pari al 2% (due per cento) della superficie della serra stessa e, comunque, in nessun caso inferiore a mq. 20. Le superfici utilizzate dalle serre possono essere computate ai fini della volumetria massima assentibile zona per zona per le altre destinazioni ammesse.</w:t>
      </w:r>
    </w:p>
    <w:p>
      <w:pPr>
        <w:pStyle w:val="NormaleWeb"/>
        <w:rPr>
          <w:b/>
          <w:bCs/>
          <w:sz w:val="14"/>
          <w:szCs w:val="14"/>
        </w:rPr>
      </w:pPr>
      <w:r>
        <w:rPr>
          <w:b/>
          <w:bCs/>
          <w:sz w:val="14"/>
          <w:szCs w:val="14"/>
        </w:rPr>
      </w:r>
    </w:p>
    <w:p>
      <w:pPr>
        <w:pStyle w:val="NormaleWeb"/>
        <w:rPr>
          <w:sz w:val="18"/>
          <w:szCs w:val="18"/>
        </w:rPr>
      </w:pPr>
      <w:r>
        <w:rPr>
          <w:b/>
          <w:bCs/>
          <w:sz w:val="18"/>
          <w:szCs w:val="18"/>
        </w:rPr>
        <w:t>E’</w:t>
      </w:r>
      <w:r>
        <w:rPr>
          <w:b/>
          <w:bCs/>
          <w:sz w:val="18"/>
          <w:szCs w:val="18"/>
          <w:vertAlign w:val="subscript"/>
        </w:rPr>
        <w:t>s</w:t>
      </w:r>
      <w:r>
        <w:rPr>
          <w:b/>
          <w:bCs/>
          <w:sz w:val="18"/>
          <w:szCs w:val="18"/>
        </w:rPr>
        <w:t xml:space="preserve"> - Agricola specializzata di primo ordine </w:t>
      </w:r>
      <w:r>
        <w:rPr>
          <w:sz w:val="18"/>
          <w:szCs w:val="18"/>
        </w:rPr>
        <w:br/>
        <w:t>— Modalità di attuazione: Concessione edilizia diretta.</w:t>
        <w:br/>
        <w:t>— Destinazioni d’uso DU (Art. 5): nn. 2; 18; 20; 21.</w:t>
        <w:br/>
        <w:t>— Interventi (Art. 6):</w:t>
        <w:br/>
        <w:t>a) relativi agli edifici: nn. 1; 2; 3; 4; 5; 6; 7; 9; 10; 11.</w:t>
        <w:br/>
        <w:t>b) relativi alla trasformazione dei suoli: nn. 1; 2.</w:t>
        <w:br/>
        <w:t>— Parametri:</w:t>
        <w:br/>
        <w:t>Azienda agricola vitale: mq. 4.000 dei quali mq. 2.000 contigui</w:t>
        <w:br/>
        <w:t>If = 0,03 mc/mq. per la destinazione residenziale</w:t>
        <w:br/>
        <w:t xml:space="preserve">       0,05 mc/mq. per le restanti destinazioni ammissibili</w:t>
        <w:br/>
        <w:t>H = m.6,50</w:t>
        <w:br/>
        <w:t>N = 2</w:t>
        <w:br/>
        <w:t>Dc = m. 4,00</w:t>
        <w:br/>
        <w:t>Df</w:t>
      </w:r>
      <w:r>
        <w:rPr>
          <w:sz w:val="18"/>
          <w:szCs w:val="18"/>
          <w:vertAlign w:val="subscript"/>
        </w:rPr>
        <w:t xml:space="preserve">1 </w:t>
      </w:r>
      <w:r>
        <w:rPr>
          <w:sz w:val="18"/>
          <w:szCs w:val="18"/>
        </w:rPr>
        <w:t>= m. 6,50</w:t>
        <w:br/>
        <w:t>Df</w:t>
      </w:r>
      <w:r>
        <w:rPr>
          <w:sz w:val="18"/>
          <w:szCs w:val="18"/>
          <w:vertAlign w:val="subscript"/>
        </w:rPr>
        <w:t xml:space="preserve">2 </w:t>
      </w:r>
      <w:r>
        <w:rPr>
          <w:sz w:val="18"/>
          <w:szCs w:val="18"/>
        </w:rPr>
        <w:t>= m. 6,50</w:t>
        <w:br/>
        <w:t>— Norme particolari.</w:t>
      </w:r>
    </w:p>
    <w:p>
      <w:pPr>
        <w:pStyle w:val="NormaleWeb"/>
        <w:rPr>
          <w:sz w:val="18"/>
          <w:szCs w:val="18"/>
        </w:rPr>
      </w:pPr>
      <w:r>
        <w:rPr>
          <w:sz w:val="18"/>
          <w:szCs w:val="18"/>
        </w:rPr>
        <w:t>E’ consentito nell’ambito della stessa zona omogenea l’asservimento di lotti non contigui.</w:t>
      </w:r>
    </w:p>
    <w:p>
      <w:pPr>
        <w:pStyle w:val="NormaleWeb"/>
        <w:rPr>
          <w:sz w:val="18"/>
          <w:szCs w:val="18"/>
        </w:rPr>
      </w:pPr>
      <w:r>
        <w:rPr>
          <w:sz w:val="18"/>
          <w:szCs w:val="18"/>
        </w:rPr>
        <w:t xml:space="preserve">E’ ammesso inoltre l’asservimento di lotti non contigui ricadenti anche in diversa zona agricola, ad eccezione delle zone </w:t>
      </w:r>
      <w:r>
        <w:rPr>
          <w:rFonts w:cs="Arial" w:ascii="Arial" w:hAnsi="Arial"/>
          <w:sz w:val="18"/>
          <w:szCs w:val="18"/>
        </w:rPr>
        <w:t>E</w:t>
      </w:r>
      <w:r>
        <w:rPr>
          <w:rFonts w:cs="Arial" w:ascii="Arial" w:hAnsi="Arial"/>
          <w:sz w:val="18"/>
          <w:szCs w:val="18"/>
          <w:vertAlign w:val="subscript"/>
        </w:rPr>
        <w:t>2</w:t>
      </w:r>
      <w:r>
        <w:rPr>
          <w:rFonts w:cs="Arial" w:ascii="Arial" w:hAnsi="Arial"/>
          <w:sz w:val="18"/>
          <w:szCs w:val="18"/>
        </w:rPr>
        <w:t>, E</w:t>
      </w:r>
      <w:r>
        <w:rPr>
          <w:rFonts w:cs="Arial" w:ascii="Arial" w:hAnsi="Arial"/>
          <w:sz w:val="18"/>
          <w:szCs w:val="18"/>
          <w:vertAlign w:val="subscript"/>
        </w:rPr>
        <w:t>10</w:t>
      </w:r>
      <w:r>
        <w:rPr>
          <w:rFonts w:cs="Arial" w:ascii="Arial" w:hAnsi="Arial"/>
          <w:sz w:val="18"/>
          <w:szCs w:val="18"/>
        </w:rPr>
        <w:t>, E</w:t>
      </w:r>
      <w:r>
        <w:rPr>
          <w:rFonts w:cs="Arial" w:ascii="Arial" w:hAnsi="Arial"/>
          <w:sz w:val="18"/>
          <w:szCs w:val="18"/>
          <w:vertAlign w:val="subscript"/>
        </w:rPr>
        <w:t>11</w:t>
      </w:r>
      <w:r>
        <w:rPr>
          <w:rFonts w:cs="Arial" w:ascii="Arial" w:hAnsi="Arial"/>
          <w:sz w:val="18"/>
          <w:szCs w:val="18"/>
        </w:rPr>
        <w:t>, E</w:t>
      </w:r>
      <w:r>
        <w:rPr>
          <w:rFonts w:cs="Arial" w:ascii="Arial" w:hAnsi="Arial"/>
          <w:sz w:val="18"/>
          <w:szCs w:val="18"/>
          <w:vertAlign w:val="subscript"/>
        </w:rPr>
        <w:t>12</w:t>
      </w:r>
      <w:r>
        <w:rPr>
          <w:rFonts w:cs="Arial" w:ascii="Arial" w:hAnsi="Arial"/>
          <w:sz w:val="18"/>
          <w:szCs w:val="18"/>
        </w:rPr>
        <w:t>, E</w:t>
      </w:r>
      <w:r>
        <w:rPr>
          <w:rFonts w:cs="Arial" w:ascii="Arial" w:hAnsi="Arial"/>
          <w:sz w:val="18"/>
          <w:szCs w:val="18"/>
          <w:vertAlign w:val="subscript"/>
        </w:rPr>
        <w:t>13</w:t>
      </w:r>
      <w:r>
        <w:rPr>
          <w:rFonts w:cs="Arial" w:ascii="Arial" w:hAnsi="Arial"/>
          <w:sz w:val="18"/>
          <w:szCs w:val="18"/>
        </w:rPr>
        <w:t xml:space="preserve">, </w:t>
      </w:r>
      <w:r>
        <w:rPr>
          <w:sz w:val="18"/>
          <w:szCs w:val="18"/>
        </w:rPr>
        <w:t>purché si realizzino le seguenti condizioni:</w:t>
      </w:r>
    </w:p>
    <w:p>
      <w:pPr>
        <w:pStyle w:val="NormaleWeb"/>
        <w:numPr>
          <w:ilvl w:val="0"/>
          <w:numId w:val="3"/>
        </w:numPr>
        <w:tabs>
          <w:tab w:val="left" w:pos="284" w:leader="none"/>
        </w:tabs>
        <w:ind w:left="284" w:right="0" w:hanging="284"/>
        <w:rPr>
          <w:sz w:val="18"/>
          <w:szCs w:val="18"/>
        </w:rPr>
      </w:pPr>
      <w:r>
        <w:rPr>
          <w:sz w:val="18"/>
          <w:szCs w:val="18"/>
        </w:rPr>
        <w:t xml:space="preserve">l’asservimento è assentibile nel limite massimo dell’indice esistente nel lotto dove verrà insediata la nuova costruzione; </w:t>
      </w:r>
    </w:p>
    <w:p>
      <w:pPr>
        <w:pStyle w:val="NormaleWeb"/>
        <w:numPr>
          <w:ilvl w:val="0"/>
          <w:numId w:val="3"/>
        </w:numPr>
        <w:tabs>
          <w:tab w:val="left" w:pos="284" w:leader="none"/>
        </w:tabs>
        <w:ind w:left="284" w:right="0" w:hanging="284"/>
        <w:rPr>
          <w:sz w:val="18"/>
          <w:szCs w:val="18"/>
        </w:rPr>
      </w:pPr>
      <w:r>
        <w:rPr>
          <w:sz w:val="18"/>
          <w:szCs w:val="18"/>
        </w:rPr>
        <w:t>l’asservimento deve essere realizzato entro un raggio di 800 mt. dal baricentro del mappale destinato alla nuova edificazione.</w:t>
      </w:r>
    </w:p>
    <w:p>
      <w:pPr>
        <w:pStyle w:val="NormaleWeb"/>
        <w:rPr>
          <w:sz w:val="18"/>
          <w:szCs w:val="18"/>
        </w:rPr>
      </w:pPr>
      <w:r>
        <w:rPr>
          <w:sz w:val="18"/>
          <w:szCs w:val="18"/>
        </w:rPr>
        <w:t>Nella costruzione dei nuovi edifici con qualunque destinazione d’uso deve essere osservato il parallelismo di tali opere con gli assi direttori indicati sulla tavola di zonizzazione del P.R.G. ed altresì osservata la distanza dai suddetti assi secondo le seguenti prescrizioni:</w:t>
      </w:r>
    </w:p>
    <w:p>
      <w:pPr>
        <w:pStyle w:val="Normal"/>
        <w:rPr>
          <w:sz w:val="18"/>
          <w:szCs w:val="18"/>
        </w:rPr>
      </w:pPr>
      <w:r>
        <w:rPr>
          <w:sz w:val="18"/>
          <w:szCs w:val="18"/>
        </w:rPr>
        <w:t xml:space="preserve">— </w:t>
      </w:r>
      <w:r>
        <w:rPr>
          <w:sz w:val="18"/>
          <w:szCs w:val="18"/>
        </w:rPr>
        <w:t>asse direttore primario m. 4,00</w:t>
        <w:br/>
        <w:t>— asse direttore secondario m. 3,00.</w:t>
      </w:r>
    </w:p>
    <w:p>
      <w:pPr>
        <w:pStyle w:val="Normal"/>
        <w:rPr>
          <w:b/>
          <w:bCs/>
          <w:sz w:val="14"/>
          <w:szCs w:val="14"/>
        </w:rPr>
      </w:pPr>
      <w:r>
        <w:rPr>
          <w:b/>
          <w:bCs/>
          <w:sz w:val="14"/>
          <w:szCs w:val="14"/>
        </w:rPr>
      </w:r>
    </w:p>
    <w:p>
      <w:pPr>
        <w:pStyle w:val="Normal"/>
        <w:ind w:left="0" w:right="-262" w:hanging="0"/>
        <w:rPr>
          <w:b/>
          <w:bCs/>
          <w:sz w:val="19"/>
          <w:szCs w:val="19"/>
        </w:rPr>
      </w:pPr>
      <w:r>
        <w:rPr>
          <w:b/>
          <w:bCs/>
          <w:sz w:val="19"/>
          <w:szCs w:val="19"/>
        </w:rPr>
        <w:t>E’’’</w:t>
      </w:r>
      <w:r>
        <w:rPr>
          <w:b/>
          <w:bCs/>
          <w:sz w:val="19"/>
          <w:szCs w:val="19"/>
          <w:vertAlign w:val="subscript"/>
        </w:rPr>
        <w:t>s</w:t>
      </w:r>
      <w:r>
        <w:rPr>
          <w:b/>
          <w:bCs/>
          <w:sz w:val="19"/>
          <w:szCs w:val="19"/>
        </w:rPr>
        <w:t xml:space="preserve"> </w:t>
      </w:r>
      <w:r>
        <w:rPr>
          <w:sz w:val="19"/>
          <w:szCs w:val="19"/>
        </w:rPr>
        <w:t xml:space="preserve">- </w:t>
      </w:r>
      <w:r>
        <w:rPr>
          <w:b/>
          <w:bCs/>
          <w:sz w:val="19"/>
          <w:szCs w:val="19"/>
        </w:rPr>
        <w:t xml:space="preserve">Agricola specializzata di terzo ordine - gi </w:t>
      </w:r>
    </w:p>
    <w:p>
      <w:pPr>
        <w:pStyle w:val="Normal"/>
        <w:rPr>
          <w:sz w:val="19"/>
          <w:szCs w:val="19"/>
        </w:rPr>
      </w:pPr>
      <w:r>
        <w:rPr>
          <w:sz w:val="19"/>
          <w:szCs w:val="19"/>
        </w:rPr>
        <w:t xml:space="preserve">— </w:t>
      </w:r>
      <w:r>
        <w:rPr>
          <w:sz w:val="19"/>
          <w:szCs w:val="19"/>
        </w:rPr>
        <w:t>Modalità di attuazione: Concessione edilizia diretta.</w:t>
      </w:r>
    </w:p>
    <w:p>
      <w:pPr>
        <w:pStyle w:val="Normal"/>
        <w:rPr>
          <w:sz w:val="19"/>
          <w:szCs w:val="19"/>
        </w:rPr>
      </w:pPr>
      <w:r>
        <w:rPr>
          <w:sz w:val="19"/>
          <w:szCs w:val="19"/>
        </w:rPr>
        <w:t xml:space="preserve">— </w:t>
      </w:r>
      <w:r>
        <w:rPr>
          <w:sz w:val="19"/>
          <w:szCs w:val="19"/>
        </w:rPr>
        <w:t>Destinazioni d’uso DU (Art. 5): nn. 2; 18; 20; 21.</w:t>
      </w:r>
    </w:p>
    <w:p>
      <w:pPr>
        <w:pStyle w:val="Normal"/>
        <w:rPr>
          <w:sz w:val="19"/>
          <w:szCs w:val="19"/>
        </w:rPr>
      </w:pPr>
      <w:r>
        <w:rPr>
          <w:sz w:val="19"/>
          <w:szCs w:val="19"/>
        </w:rPr>
        <w:t xml:space="preserve">— </w:t>
      </w:r>
      <w:r>
        <w:rPr>
          <w:sz w:val="19"/>
          <w:szCs w:val="19"/>
        </w:rPr>
        <w:t>Interventi (Art. 6):</w:t>
      </w:r>
    </w:p>
    <w:p>
      <w:pPr>
        <w:pStyle w:val="Normal"/>
        <w:rPr>
          <w:sz w:val="19"/>
          <w:szCs w:val="19"/>
        </w:rPr>
      </w:pPr>
      <w:r>
        <w:rPr>
          <w:sz w:val="19"/>
          <w:szCs w:val="19"/>
        </w:rPr>
        <w:t>a) relativi agli edifici: nn. 1; 2; 3; 4; 5; 6; 7; 9; 10; 11.</w:t>
      </w:r>
    </w:p>
    <w:p>
      <w:pPr>
        <w:pStyle w:val="Normal"/>
        <w:rPr>
          <w:sz w:val="19"/>
          <w:szCs w:val="19"/>
        </w:rPr>
      </w:pPr>
      <w:r>
        <w:rPr>
          <w:sz w:val="19"/>
          <w:szCs w:val="19"/>
        </w:rPr>
        <w:t>b) relativi alla trasformazione dei suoli: nn. 1; 2.</w:t>
      </w:r>
    </w:p>
    <w:p>
      <w:pPr>
        <w:pStyle w:val="Normal"/>
        <w:rPr>
          <w:sz w:val="19"/>
          <w:szCs w:val="19"/>
        </w:rPr>
      </w:pPr>
      <w:r>
        <w:rPr>
          <w:sz w:val="19"/>
          <w:szCs w:val="19"/>
        </w:rPr>
        <w:t xml:space="preserve">— </w:t>
      </w:r>
      <w:r>
        <w:rPr>
          <w:sz w:val="19"/>
          <w:szCs w:val="19"/>
        </w:rPr>
        <w:t>Parametri:</w:t>
      </w:r>
    </w:p>
    <w:p>
      <w:pPr>
        <w:pStyle w:val="Normal"/>
        <w:rPr>
          <w:sz w:val="19"/>
          <w:szCs w:val="19"/>
        </w:rPr>
      </w:pPr>
      <w:r>
        <w:rPr>
          <w:sz w:val="19"/>
          <w:szCs w:val="19"/>
        </w:rPr>
        <w:t>Azienda agricola vitale: mq. 8.000 dei quali mq. 2.000 contigui</w:t>
      </w:r>
    </w:p>
    <w:p>
      <w:pPr>
        <w:pStyle w:val="Normal"/>
        <w:rPr>
          <w:sz w:val="19"/>
          <w:szCs w:val="19"/>
        </w:rPr>
      </w:pPr>
      <w:r>
        <w:rPr>
          <w:sz w:val="19"/>
          <w:szCs w:val="19"/>
        </w:rPr>
        <w:t>If = 0,03 mc/mq. per la destinazione residenziale</w:t>
      </w:r>
    </w:p>
    <w:p>
      <w:pPr>
        <w:pStyle w:val="Normal"/>
        <w:rPr>
          <w:sz w:val="19"/>
          <w:szCs w:val="19"/>
        </w:rPr>
      </w:pPr>
      <w:r>
        <w:rPr>
          <w:sz w:val="19"/>
          <w:szCs w:val="19"/>
        </w:rPr>
        <w:t xml:space="preserve">       </w:t>
      </w:r>
      <w:r>
        <w:rPr>
          <w:sz w:val="19"/>
          <w:szCs w:val="19"/>
        </w:rPr>
        <w:t>0,05 mc/mq. per le restanti destinazioni ammissibili</w:t>
      </w:r>
    </w:p>
    <w:p>
      <w:pPr>
        <w:pStyle w:val="Normal"/>
        <w:rPr>
          <w:sz w:val="19"/>
          <w:szCs w:val="19"/>
          <w:lang w:val="pt-BR"/>
        </w:rPr>
      </w:pPr>
      <w:r>
        <w:rPr>
          <w:sz w:val="19"/>
          <w:szCs w:val="19"/>
          <w:lang w:val="pt-BR"/>
        </w:rPr>
        <w:t>H = m.6,50</w:t>
      </w:r>
    </w:p>
    <w:p>
      <w:pPr>
        <w:pStyle w:val="Normal"/>
        <w:rPr>
          <w:sz w:val="19"/>
          <w:szCs w:val="19"/>
          <w:lang w:val="pt-BR"/>
        </w:rPr>
      </w:pPr>
      <w:r>
        <w:rPr>
          <w:sz w:val="19"/>
          <w:szCs w:val="19"/>
          <w:lang w:val="pt-BR"/>
        </w:rPr>
        <w:t>N = 2</w:t>
      </w:r>
    </w:p>
    <w:p>
      <w:pPr>
        <w:pStyle w:val="Normal"/>
        <w:rPr>
          <w:sz w:val="19"/>
          <w:szCs w:val="19"/>
          <w:lang w:val="pt-BR"/>
        </w:rPr>
      </w:pPr>
      <w:r>
        <w:rPr>
          <w:sz w:val="19"/>
          <w:szCs w:val="19"/>
          <w:lang w:val="pt-BR"/>
        </w:rPr>
        <w:t>Dc = m. 4,00</w:t>
      </w:r>
    </w:p>
    <w:p>
      <w:pPr>
        <w:pStyle w:val="Normal"/>
        <w:rPr>
          <w:sz w:val="19"/>
          <w:szCs w:val="19"/>
          <w:lang w:val="pt-BR"/>
        </w:rPr>
      </w:pPr>
      <w:r>
        <w:rPr>
          <w:sz w:val="19"/>
          <w:szCs w:val="19"/>
          <w:lang w:val="pt-BR"/>
        </w:rPr>
        <w:t>Df</w:t>
      </w:r>
      <w:r>
        <w:rPr>
          <w:sz w:val="19"/>
          <w:szCs w:val="19"/>
          <w:vertAlign w:val="subscript"/>
          <w:lang w:val="pt-BR"/>
        </w:rPr>
        <w:t xml:space="preserve">1 </w:t>
      </w:r>
      <w:r>
        <w:rPr>
          <w:sz w:val="19"/>
          <w:szCs w:val="19"/>
          <w:lang w:val="pt-BR"/>
        </w:rPr>
        <w:t>= m. 6,50</w:t>
      </w:r>
    </w:p>
    <w:p>
      <w:pPr>
        <w:pStyle w:val="Normal"/>
        <w:rPr>
          <w:sz w:val="19"/>
          <w:szCs w:val="19"/>
          <w:lang w:val="pt-BR"/>
        </w:rPr>
      </w:pPr>
      <w:r>
        <w:rPr>
          <w:sz w:val="19"/>
          <w:szCs w:val="19"/>
          <w:lang w:val="pt-BR"/>
        </w:rPr>
        <w:t>Df</w:t>
      </w:r>
      <w:r>
        <w:rPr>
          <w:sz w:val="19"/>
          <w:szCs w:val="19"/>
          <w:vertAlign w:val="subscript"/>
          <w:lang w:val="pt-BR"/>
        </w:rPr>
        <w:t xml:space="preserve">2 </w:t>
      </w:r>
      <w:r>
        <w:rPr>
          <w:sz w:val="19"/>
          <w:szCs w:val="19"/>
          <w:lang w:val="pt-BR"/>
        </w:rPr>
        <w:t>= m. 6,50</w:t>
      </w:r>
    </w:p>
    <w:p>
      <w:pPr>
        <w:pStyle w:val="Normal"/>
        <w:rPr>
          <w:sz w:val="19"/>
          <w:szCs w:val="19"/>
        </w:rPr>
      </w:pPr>
      <w:r>
        <w:rPr>
          <w:sz w:val="19"/>
          <w:szCs w:val="19"/>
        </w:rPr>
        <w:t xml:space="preserve">— </w:t>
      </w:r>
      <w:r>
        <w:rPr>
          <w:sz w:val="19"/>
          <w:szCs w:val="19"/>
        </w:rPr>
        <w:t>Norme particolari.</w:t>
      </w:r>
    </w:p>
    <w:p>
      <w:pPr>
        <w:pStyle w:val="Normal"/>
        <w:rPr>
          <w:sz w:val="19"/>
          <w:szCs w:val="19"/>
        </w:rPr>
      </w:pPr>
      <w:r>
        <w:rPr>
          <w:sz w:val="19"/>
          <w:szCs w:val="19"/>
        </w:rPr>
        <w:t>E’ consentito nell’ambito della stessa zona omogenea l’asservimento di lotti non contigui.</w:t>
      </w:r>
    </w:p>
    <w:p>
      <w:pPr>
        <w:pStyle w:val="Normal"/>
        <w:rPr>
          <w:sz w:val="19"/>
          <w:szCs w:val="19"/>
        </w:rPr>
      </w:pPr>
      <w:r>
        <w:rPr>
          <w:sz w:val="19"/>
          <w:szCs w:val="19"/>
        </w:rPr>
        <w:t>E’ ammesso l’asservimento di lotti non contigui ricadenti anche in diversa zona agricola, ad eccezione delle zone E</w:t>
      </w:r>
      <w:r>
        <w:rPr>
          <w:sz w:val="19"/>
          <w:szCs w:val="19"/>
          <w:vertAlign w:val="subscript"/>
        </w:rPr>
        <w:t>2</w:t>
      </w:r>
      <w:r>
        <w:rPr>
          <w:sz w:val="19"/>
          <w:szCs w:val="19"/>
        </w:rPr>
        <w:t>, E</w:t>
      </w:r>
      <w:r>
        <w:rPr>
          <w:sz w:val="19"/>
          <w:szCs w:val="19"/>
          <w:vertAlign w:val="subscript"/>
        </w:rPr>
        <w:t>10</w:t>
      </w:r>
      <w:r>
        <w:rPr>
          <w:sz w:val="19"/>
          <w:szCs w:val="19"/>
        </w:rPr>
        <w:t>, E</w:t>
      </w:r>
      <w:r>
        <w:rPr>
          <w:sz w:val="19"/>
          <w:szCs w:val="19"/>
          <w:vertAlign w:val="subscript"/>
        </w:rPr>
        <w:t>11</w:t>
      </w:r>
      <w:r>
        <w:rPr>
          <w:sz w:val="19"/>
          <w:szCs w:val="19"/>
        </w:rPr>
        <w:t>, E</w:t>
      </w:r>
      <w:r>
        <w:rPr>
          <w:sz w:val="19"/>
          <w:szCs w:val="19"/>
          <w:vertAlign w:val="subscript"/>
        </w:rPr>
        <w:t>12</w:t>
      </w:r>
      <w:r>
        <w:rPr>
          <w:sz w:val="19"/>
          <w:szCs w:val="19"/>
        </w:rPr>
        <w:t>, E</w:t>
      </w:r>
      <w:r>
        <w:rPr>
          <w:sz w:val="19"/>
          <w:szCs w:val="19"/>
          <w:vertAlign w:val="subscript"/>
        </w:rPr>
        <w:t>13</w:t>
      </w:r>
      <w:r>
        <w:rPr>
          <w:sz w:val="19"/>
          <w:szCs w:val="19"/>
        </w:rPr>
        <w:t>, purché si realizzino le seguenti condizioni:</w:t>
      </w:r>
    </w:p>
    <w:p>
      <w:pPr>
        <w:pStyle w:val="Normal"/>
        <w:numPr>
          <w:ilvl w:val="0"/>
          <w:numId w:val="2"/>
        </w:numPr>
        <w:tabs>
          <w:tab w:val="left" w:pos="284" w:leader="none"/>
        </w:tabs>
        <w:suppressAutoHyphens w:val="true"/>
        <w:ind w:left="284" w:right="0" w:hanging="284"/>
        <w:rPr>
          <w:sz w:val="19"/>
          <w:szCs w:val="19"/>
        </w:rPr>
      </w:pPr>
      <w:r>
        <w:rPr>
          <w:sz w:val="19"/>
          <w:szCs w:val="19"/>
        </w:rPr>
        <w:t xml:space="preserve">l’asservimento è assentibile nel limite massimo dell’indice esistente nel lotto dove verrà insediata la nuova costruzione; </w:t>
      </w:r>
    </w:p>
    <w:p>
      <w:pPr>
        <w:pStyle w:val="Normal"/>
        <w:numPr>
          <w:ilvl w:val="0"/>
          <w:numId w:val="2"/>
        </w:numPr>
        <w:tabs>
          <w:tab w:val="left" w:pos="284" w:leader="none"/>
        </w:tabs>
        <w:suppressAutoHyphens w:val="true"/>
        <w:ind w:left="284" w:right="0" w:hanging="284"/>
        <w:rPr>
          <w:sz w:val="19"/>
          <w:szCs w:val="19"/>
        </w:rPr>
      </w:pPr>
      <w:r>
        <w:rPr>
          <w:sz w:val="19"/>
          <w:szCs w:val="19"/>
        </w:rPr>
        <w:t>l’asservimento deve essere realizzato entro un raggio di 800 mt. dal baricentro del mappale destinato alla nuova edificazione.</w:t>
      </w:r>
    </w:p>
    <w:p>
      <w:pPr>
        <w:pStyle w:val="Normal"/>
        <w:rPr>
          <w:sz w:val="19"/>
          <w:szCs w:val="19"/>
        </w:rPr>
      </w:pPr>
      <w:r>
        <w:rPr>
          <w:sz w:val="19"/>
          <w:szCs w:val="19"/>
        </w:rPr>
        <w:t>Nella porzione di zona E’’’</w:t>
      </w:r>
      <w:r>
        <w:rPr>
          <w:sz w:val="19"/>
          <w:szCs w:val="19"/>
          <w:vertAlign w:val="subscript"/>
        </w:rPr>
        <w:t xml:space="preserve"> s</w:t>
      </w:r>
      <w:r>
        <w:rPr>
          <w:sz w:val="19"/>
          <w:szCs w:val="19"/>
        </w:rPr>
        <w:t xml:space="preserve"> contraddistinta con il simbolo &lt;&lt; gi &gt;&gt;, geologicamente instabile, la realizzazione di qualunque edificio o manufatto, comprese pertanto le serre, potrà avvenire solo previa verifica di fattibilità secondo specifica indagine geologico - geomorfologica e geognostica, che deve rispondere fondamentalmente ai seguenti punti:</w:t>
      </w:r>
    </w:p>
    <w:p>
      <w:pPr>
        <w:pStyle w:val="Normal"/>
        <w:rPr>
          <w:sz w:val="19"/>
          <w:szCs w:val="19"/>
        </w:rPr>
      </w:pPr>
      <w:r>
        <w:rPr>
          <w:sz w:val="19"/>
          <w:szCs w:val="19"/>
        </w:rPr>
        <w:t>a) caratteri litologici delle formazioni geologiche e loro caratteristiche geologiche-tecniche;</w:t>
      </w:r>
    </w:p>
    <w:p>
      <w:pPr>
        <w:pStyle w:val="Normal"/>
        <w:rPr>
          <w:sz w:val="19"/>
          <w:szCs w:val="19"/>
        </w:rPr>
      </w:pPr>
      <w:r>
        <w:rPr>
          <w:sz w:val="19"/>
          <w:szCs w:val="19"/>
        </w:rPr>
        <w:t>b) assetto giaciturale delle formazioni e loro condizioni di equilibrio;</w:t>
      </w:r>
    </w:p>
    <w:p>
      <w:pPr>
        <w:pStyle w:val="Normal"/>
        <w:rPr>
          <w:sz w:val="19"/>
          <w:szCs w:val="19"/>
        </w:rPr>
      </w:pPr>
      <w:r>
        <w:rPr>
          <w:sz w:val="19"/>
          <w:szCs w:val="19"/>
        </w:rPr>
        <w:t>c) valutazione sommaria delle coltri incoerenti in pendio e loro grado di equilibrio;</w:t>
      </w:r>
    </w:p>
    <w:p>
      <w:pPr>
        <w:pStyle w:val="Normal"/>
        <w:rPr>
          <w:sz w:val="19"/>
          <w:szCs w:val="19"/>
        </w:rPr>
      </w:pPr>
      <w:r>
        <w:rPr>
          <w:sz w:val="19"/>
          <w:szCs w:val="19"/>
        </w:rPr>
        <w:t>d) studio idrogeologico con definizione del reticolo di drenaggio e dei gradi di permeabilità delle formazioni;</w:t>
      </w:r>
    </w:p>
    <w:p>
      <w:pPr>
        <w:pStyle w:val="Normal"/>
        <w:rPr>
          <w:sz w:val="19"/>
          <w:szCs w:val="19"/>
        </w:rPr>
      </w:pPr>
      <w:r>
        <w:rPr>
          <w:sz w:val="19"/>
          <w:szCs w:val="19"/>
        </w:rPr>
        <w:t>e) profondità e caratteristiche del substrato;</w:t>
      </w:r>
    </w:p>
    <w:p>
      <w:pPr>
        <w:pStyle w:val="Normal"/>
        <w:rPr>
          <w:sz w:val="19"/>
          <w:szCs w:val="19"/>
        </w:rPr>
      </w:pPr>
      <w:r>
        <w:rPr>
          <w:sz w:val="19"/>
          <w:szCs w:val="19"/>
        </w:rPr>
        <w:t>f) caratteristiche tecniche delle coltri di materiali incoerenti in pendio o in piano;</w:t>
      </w:r>
    </w:p>
    <w:p>
      <w:pPr>
        <w:pStyle w:val="Normal"/>
        <w:rPr>
          <w:sz w:val="19"/>
          <w:szCs w:val="19"/>
        </w:rPr>
      </w:pPr>
      <w:r>
        <w:rPr>
          <w:sz w:val="19"/>
          <w:szCs w:val="19"/>
        </w:rPr>
        <w:t>g) condizioni idrogeologiche locali.</w:t>
      </w:r>
    </w:p>
    <w:p>
      <w:pPr>
        <w:pStyle w:val="NormaleWeb"/>
        <w:rPr>
          <w:sz w:val="18"/>
          <w:szCs w:val="20"/>
        </w:rPr>
      </w:pPr>
      <w:r>
        <w:rPr>
          <w:sz w:val="18"/>
          <w:szCs w:val="20"/>
        </w:rPr>
        <w:t> </w:t>
      </w:r>
    </w:p>
    <w:p>
      <w:pPr>
        <w:pStyle w:val="NormaleWeb"/>
        <w:rPr>
          <w:b/>
          <w:bCs/>
          <w:sz w:val="18"/>
          <w:szCs w:val="20"/>
        </w:rPr>
      </w:pPr>
      <w:r>
        <w:rPr>
          <w:b/>
          <w:bCs/>
          <w:sz w:val="18"/>
          <w:szCs w:val="20"/>
        </w:rPr>
        <w:t>TABELLA DEI VINCOLI PRESENTI</w:t>
      </w:r>
    </w:p>
    <w:p>
      <w:pPr>
        <w:pStyle w:val="NormaleWeb"/>
        <w:rPr>
          <w:b/>
          <w:bCs/>
          <w:sz w:val="14"/>
          <w:szCs w:val="14"/>
        </w:rPr>
      </w:pPr>
      <w:r>
        <w:rPr>
          <w:b/>
          <w:bCs/>
          <w:sz w:val="14"/>
          <w:szCs w:val="14"/>
        </w:rPr>
      </w:r>
    </w:p>
    <w:tbl>
      <w:tblPr>
        <w:jc w:val="center"/>
        <w:tblInd w:w="0" w:type="dxa"/>
        <w:tblBorders>
          <w:top w:val="thickThinLargeGap" w:sz="6" w:space="0" w:color="C0C0C0"/>
          <w:left w:val="thickThinLargeGap" w:sz="6" w:space="0" w:color="C0C0C0"/>
          <w:bottom w:val="thickThinLargeGap" w:sz="6" w:space="0" w:color="C0C0C0"/>
          <w:insideH w:val="thickThinLargeGap" w:sz="6" w:space="0" w:color="C0C0C0"/>
          <w:right w:val="nil"/>
          <w:insideV w:val="nil"/>
        </w:tblBorders>
        <w:tblCellMar>
          <w:top w:w="15" w:type="dxa"/>
          <w:left w:w="-15" w:type="dxa"/>
          <w:bottom w:w="15" w:type="dxa"/>
          <w:right w:w="15" w:type="dxa"/>
        </w:tblCellMar>
      </w:tblPr>
      <w:tblGrid>
        <w:gridCol w:w="569"/>
        <w:gridCol w:w="595"/>
        <w:gridCol w:w="1387"/>
        <w:gridCol w:w="1261"/>
        <w:gridCol w:w="1292"/>
        <w:gridCol w:w="1429"/>
        <w:gridCol w:w="1251"/>
        <w:gridCol w:w="1929"/>
      </w:tblGrid>
      <w:tr>
        <w:trPr>
          <w:cantSplit w:val="false"/>
        </w:trPr>
        <w:tc>
          <w:tcPr>
            <w:tcW w:w="569"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left w:w="-15" w:type="dxa"/>
            </w:tcMar>
            <w:vAlign w:val="center"/>
          </w:tcPr>
          <w:p>
            <w:pPr>
              <w:pStyle w:val="Normal"/>
              <w:jc w:val="center"/>
              <w:rPr>
                <w:b/>
                <w:bCs/>
                <w:sz w:val="18"/>
              </w:rPr>
            </w:pPr>
            <w:r>
              <w:rPr>
                <w:b/>
                <w:bCs/>
                <w:sz w:val="18"/>
              </w:rPr>
              <w:t>Foglio</w:t>
            </w:r>
          </w:p>
        </w:tc>
        <w:tc>
          <w:tcPr>
            <w:tcW w:w="595"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vAlign w:val="center"/>
          </w:tcPr>
          <w:p>
            <w:pPr>
              <w:pStyle w:val="Normal"/>
              <w:jc w:val="center"/>
              <w:rPr>
                <w:b/>
                <w:bCs/>
                <w:sz w:val="18"/>
              </w:rPr>
            </w:pPr>
            <w:r>
              <w:rPr>
                <w:b/>
                <w:bCs/>
                <w:sz w:val="18"/>
              </w:rPr>
              <w:t>Mapp.</w:t>
            </w:r>
          </w:p>
        </w:tc>
        <w:tc>
          <w:tcPr>
            <w:tcW w:w="1387"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vAlign w:val="center"/>
          </w:tcPr>
          <w:p>
            <w:pPr>
              <w:pStyle w:val="Normal"/>
              <w:jc w:val="center"/>
              <w:rPr>
                <w:b/>
                <w:bCs/>
                <w:sz w:val="18"/>
              </w:rPr>
            </w:pPr>
            <w:r>
              <w:rPr>
                <w:b/>
                <w:bCs/>
                <w:sz w:val="18"/>
              </w:rPr>
              <w:t>Vincolo ultimi due commi dell'art. 9 della Legge 01/03/1975 n. 47</w:t>
            </w:r>
          </w:p>
        </w:tc>
        <w:tc>
          <w:tcPr>
            <w:tcW w:w="1261"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vAlign w:val="center"/>
          </w:tcPr>
          <w:p>
            <w:pPr>
              <w:pStyle w:val="Corpodeltesto3"/>
              <w:jc w:val="center"/>
              <w:rPr>
                <w:sz w:val="18"/>
              </w:rPr>
            </w:pPr>
            <w:r>
              <w:rPr>
                <w:sz w:val="18"/>
              </w:rPr>
              <w:t>Vincolo ambientale ai sensi dell’art. 136 del D.Lgs 42/04</w:t>
            </w:r>
          </w:p>
        </w:tc>
        <w:tc>
          <w:tcPr>
            <w:tcW w:w="1292"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vAlign w:val="center"/>
          </w:tcPr>
          <w:p>
            <w:pPr>
              <w:pStyle w:val="Normal"/>
              <w:jc w:val="center"/>
              <w:rPr>
                <w:b/>
                <w:bCs/>
                <w:sz w:val="18"/>
              </w:rPr>
            </w:pPr>
            <w:r>
              <w:rPr>
                <w:b/>
                <w:bCs/>
                <w:sz w:val="18"/>
              </w:rPr>
              <w:t>Vincolo Idrogeologico - R.D. 3267 del 1923</w:t>
            </w:r>
          </w:p>
        </w:tc>
        <w:tc>
          <w:tcPr>
            <w:tcW w:w="1429"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vAlign w:val="center"/>
          </w:tcPr>
          <w:p>
            <w:pPr>
              <w:pStyle w:val="Normal"/>
              <w:jc w:val="center"/>
              <w:rPr>
                <w:b/>
                <w:bCs/>
                <w:sz w:val="18"/>
              </w:rPr>
            </w:pPr>
            <w:r>
              <w:rPr>
                <w:b/>
                <w:bCs/>
                <w:sz w:val="18"/>
              </w:rPr>
              <w:t>Zona  del P.T.C.P. INSEDIATIVO</w:t>
            </w:r>
          </w:p>
        </w:tc>
        <w:tc>
          <w:tcPr>
            <w:tcW w:w="1251"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vAlign w:val="center"/>
          </w:tcPr>
          <w:p>
            <w:pPr>
              <w:pStyle w:val="Normal"/>
              <w:jc w:val="center"/>
              <w:rPr>
                <w:b/>
                <w:bCs/>
                <w:sz w:val="18"/>
              </w:rPr>
            </w:pPr>
            <w:r>
              <w:rPr>
                <w:b/>
                <w:bCs/>
                <w:sz w:val="18"/>
              </w:rPr>
              <w:t>Suscettività al dissesto del vigente Piano di Bacino.</w:t>
            </w:r>
          </w:p>
        </w:tc>
        <w:tc>
          <w:tcPr>
            <w:tcW w:w="1929" w:type="dxa"/>
            <w:tcBorders>
              <w:top w:val="thickThinLargeGap" w:sz="6" w:space="0" w:color="C0C0C0"/>
              <w:left w:val="thickThinLargeGap" w:sz="6" w:space="0" w:color="C0C0C0"/>
              <w:bottom w:val="thickThinLargeGap" w:sz="6" w:space="0" w:color="C0C0C0"/>
              <w:insideH w:val="thickThinLargeGap" w:sz="6" w:space="0" w:color="C0C0C0"/>
              <w:right w:val="thickThinLargeGap" w:sz="6" w:space="0" w:color="C0C0C0"/>
              <w:insideV w:val="thickThinLargeGap" w:sz="6" w:space="0" w:color="C0C0C0"/>
            </w:tcBorders>
            <w:shd w:fill="auto" w:val="clear"/>
            <w:tcMar>
              <w:top w:w="0" w:type="dxa"/>
              <w:left w:w="-30" w:type="dxa"/>
              <w:bottom w:w="0" w:type="dxa"/>
              <w:right w:w="0" w:type="dxa"/>
            </w:tcMar>
            <w:vAlign w:val="center"/>
          </w:tcPr>
          <w:p>
            <w:pPr>
              <w:pStyle w:val="Normal"/>
              <w:jc w:val="center"/>
              <w:rPr>
                <w:b/>
                <w:bCs/>
                <w:sz w:val="18"/>
              </w:rPr>
            </w:pPr>
            <w:r>
              <w:rPr>
                <w:b/>
                <w:bCs/>
                <w:sz w:val="18"/>
              </w:rPr>
              <w:t>Fascia Fluviale del vigente Piano di Bacino</w:t>
            </w:r>
          </w:p>
          <w:p>
            <w:pPr>
              <w:pStyle w:val="Normal"/>
              <w:jc w:val="center"/>
              <w:rPr>
                <w:b/>
                <w:bCs/>
                <w:sz w:val="18"/>
              </w:rPr>
            </w:pPr>
            <w:r>
              <w:rPr>
                <w:b/>
                <w:bCs/>
                <w:sz w:val="18"/>
              </w:rPr>
              <w:t xml:space="preserve">individuata </w:t>
            </w:r>
          </w:p>
          <w:p>
            <w:pPr>
              <w:pStyle w:val="Titolo1"/>
              <w:numPr>
                <w:ilvl w:val="0"/>
                <w:numId w:val="1"/>
              </w:numPr>
              <w:rPr/>
            </w:pPr>
            <w:r>
              <w:rPr/>
            </w:r>
          </w:p>
        </w:tc>
      </w:tr>
      <w:tr>
        <w:trPr>
          <w:cantSplit w:val="false"/>
        </w:trPr>
        <w:tc>
          <w:tcPr>
            <w:tcW w:w="569"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left w:w="-15" w:type="dxa"/>
            </w:tcMar>
            <w:vAlign w:val="center"/>
          </w:tcPr>
          <w:p>
            <w:pPr>
              <w:pStyle w:val="Normal"/>
              <w:jc w:val="center"/>
              <w:rPr>
                <w:sz w:val="18"/>
                <w:szCs w:val="20"/>
              </w:rPr>
            </w:pPr>
            <w:r>
              <w:rPr>
                <w:sz w:val="18"/>
                <w:szCs w:val="20"/>
              </w:rPr>
              <w:t>32</w:t>
            </w:r>
          </w:p>
        </w:tc>
        <w:tc>
          <w:tcPr>
            <w:tcW w:w="595"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vAlign w:val="center"/>
          </w:tcPr>
          <w:p>
            <w:pPr>
              <w:pStyle w:val="Normal"/>
              <w:jc w:val="center"/>
              <w:rPr>
                <w:sz w:val="18"/>
                <w:szCs w:val="20"/>
              </w:rPr>
            </w:pPr>
            <w:r>
              <w:rPr>
                <w:sz w:val="18"/>
                <w:szCs w:val="20"/>
              </w:rPr>
              <w:t>409</w:t>
            </w:r>
          </w:p>
        </w:tc>
        <w:tc>
          <w:tcPr>
            <w:tcW w:w="1387"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no</w:t>
            </w:r>
          </w:p>
        </w:tc>
        <w:tc>
          <w:tcPr>
            <w:tcW w:w="1261"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no</w:t>
            </w:r>
          </w:p>
        </w:tc>
        <w:tc>
          <w:tcPr>
            <w:tcW w:w="1292"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no</w:t>
            </w:r>
          </w:p>
        </w:tc>
        <w:tc>
          <w:tcPr>
            <w:tcW w:w="1429"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vAlign w:val="center"/>
          </w:tcPr>
          <w:p>
            <w:pPr>
              <w:pStyle w:val="Normal"/>
              <w:jc w:val="center"/>
              <w:rPr>
                <w:sz w:val="18"/>
              </w:rPr>
            </w:pPr>
            <w:r>
              <w:rPr>
                <w:sz w:val="18"/>
              </w:rPr>
              <w:t>IS-MA</w:t>
            </w:r>
          </w:p>
        </w:tc>
        <w:tc>
          <w:tcPr>
            <w:tcW w:w="1251"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Pg0 e Pg2</w:t>
            </w:r>
          </w:p>
        </w:tc>
        <w:tc>
          <w:tcPr>
            <w:tcW w:w="1929" w:type="dxa"/>
            <w:tcBorders>
              <w:top w:val="thickThinLargeGap" w:sz="6" w:space="0" w:color="C0C0C0"/>
              <w:left w:val="thickThinLargeGap" w:sz="6" w:space="0" w:color="C0C0C0"/>
              <w:bottom w:val="thickThinLargeGap" w:sz="6" w:space="0" w:color="C0C0C0"/>
              <w:insideH w:val="thickThinLargeGap" w:sz="6" w:space="0" w:color="C0C0C0"/>
              <w:right w:val="thickThinLargeGap" w:sz="6" w:space="0" w:color="C0C0C0"/>
              <w:insideV w:val="thickThinLargeGap" w:sz="6" w:space="0" w:color="C0C0C0"/>
            </w:tcBorders>
            <w:shd w:fill="auto" w:val="clear"/>
            <w:tcMar>
              <w:top w:w="0" w:type="dxa"/>
              <w:left w:w="-30" w:type="dxa"/>
              <w:bottom w:w="0" w:type="dxa"/>
              <w:right w:w="0" w:type="dxa"/>
            </w:tcMar>
          </w:tcPr>
          <w:p>
            <w:pPr>
              <w:pStyle w:val="Normal"/>
              <w:jc w:val="center"/>
              <w:rPr>
                <w:sz w:val="18"/>
              </w:rPr>
            </w:pPr>
            <w:r>
              <w:rPr>
                <w:sz w:val="18"/>
              </w:rPr>
              <w:t>B parte / C parte</w:t>
            </w:r>
          </w:p>
        </w:tc>
      </w:tr>
      <w:tr>
        <w:trPr>
          <w:cantSplit w:val="false"/>
        </w:trPr>
        <w:tc>
          <w:tcPr>
            <w:tcW w:w="569"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left w:w="-15" w:type="dxa"/>
            </w:tcMar>
            <w:vAlign w:val="center"/>
          </w:tcPr>
          <w:p>
            <w:pPr>
              <w:pStyle w:val="Normal"/>
              <w:jc w:val="center"/>
              <w:rPr>
                <w:sz w:val="18"/>
                <w:szCs w:val="20"/>
              </w:rPr>
            </w:pPr>
            <w:r>
              <w:rPr>
                <w:sz w:val="18"/>
                <w:szCs w:val="20"/>
              </w:rPr>
              <w:t>32</w:t>
            </w:r>
          </w:p>
        </w:tc>
        <w:tc>
          <w:tcPr>
            <w:tcW w:w="595"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vAlign w:val="center"/>
          </w:tcPr>
          <w:p>
            <w:pPr>
              <w:pStyle w:val="Normal"/>
              <w:jc w:val="center"/>
              <w:rPr>
                <w:sz w:val="18"/>
                <w:szCs w:val="20"/>
              </w:rPr>
            </w:pPr>
            <w:r>
              <w:rPr>
                <w:sz w:val="18"/>
                <w:szCs w:val="20"/>
              </w:rPr>
              <w:t>426</w:t>
            </w:r>
          </w:p>
        </w:tc>
        <w:tc>
          <w:tcPr>
            <w:tcW w:w="1387"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no</w:t>
            </w:r>
          </w:p>
        </w:tc>
        <w:tc>
          <w:tcPr>
            <w:tcW w:w="1261"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no</w:t>
            </w:r>
          </w:p>
        </w:tc>
        <w:tc>
          <w:tcPr>
            <w:tcW w:w="1292"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no</w:t>
            </w:r>
          </w:p>
        </w:tc>
        <w:tc>
          <w:tcPr>
            <w:tcW w:w="1429"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vAlign w:val="center"/>
          </w:tcPr>
          <w:p>
            <w:pPr>
              <w:pStyle w:val="Normal"/>
              <w:jc w:val="center"/>
              <w:rPr>
                <w:sz w:val="18"/>
              </w:rPr>
            </w:pPr>
            <w:r>
              <w:rPr>
                <w:sz w:val="18"/>
              </w:rPr>
              <w:t>IS-MA</w:t>
            </w:r>
          </w:p>
        </w:tc>
        <w:tc>
          <w:tcPr>
            <w:tcW w:w="1251"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Pg2</w:t>
            </w:r>
          </w:p>
        </w:tc>
        <w:tc>
          <w:tcPr>
            <w:tcW w:w="1929" w:type="dxa"/>
            <w:tcBorders>
              <w:top w:val="thickThinLargeGap" w:sz="6" w:space="0" w:color="C0C0C0"/>
              <w:left w:val="thickThinLargeGap" w:sz="6" w:space="0" w:color="C0C0C0"/>
              <w:bottom w:val="thickThinLargeGap" w:sz="6" w:space="0" w:color="C0C0C0"/>
              <w:insideH w:val="thickThinLargeGap" w:sz="6" w:space="0" w:color="C0C0C0"/>
              <w:right w:val="thickThinLargeGap" w:sz="6" w:space="0" w:color="C0C0C0"/>
              <w:insideV w:val="thickThinLargeGap" w:sz="6" w:space="0" w:color="C0C0C0"/>
            </w:tcBorders>
            <w:shd w:fill="auto" w:val="clear"/>
            <w:tcMar>
              <w:top w:w="0" w:type="dxa"/>
              <w:left w:w="-30" w:type="dxa"/>
              <w:bottom w:w="0" w:type="dxa"/>
              <w:right w:w="0" w:type="dxa"/>
            </w:tcMar>
          </w:tcPr>
          <w:p>
            <w:pPr>
              <w:pStyle w:val="Normal"/>
              <w:jc w:val="center"/>
              <w:rPr>
                <w:sz w:val="18"/>
              </w:rPr>
            </w:pPr>
            <w:r>
              <w:rPr>
                <w:sz w:val="18"/>
              </w:rPr>
              <w:t>B parte / C parte</w:t>
            </w:r>
          </w:p>
        </w:tc>
      </w:tr>
      <w:tr>
        <w:trPr>
          <w:cantSplit w:val="false"/>
        </w:trPr>
        <w:tc>
          <w:tcPr>
            <w:tcW w:w="569"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left w:w="-15" w:type="dxa"/>
            </w:tcMar>
            <w:vAlign w:val="center"/>
          </w:tcPr>
          <w:p>
            <w:pPr>
              <w:pStyle w:val="Normal"/>
              <w:jc w:val="center"/>
              <w:rPr>
                <w:sz w:val="18"/>
                <w:szCs w:val="20"/>
              </w:rPr>
            </w:pPr>
            <w:r>
              <w:rPr>
                <w:sz w:val="18"/>
                <w:szCs w:val="20"/>
              </w:rPr>
              <w:t>32</w:t>
            </w:r>
          </w:p>
        </w:tc>
        <w:tc>
          <w:tcPr>
            <w:tcW w:w="595"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vAlign w:val="center"/>
          </w:tcPr>
          <w:p>
            <w:pPr>
              <w:pStyle w:val="Normal"/>
              <w:jc w:val="center"/>
              <w:rPr>
                <w:sz w:val="18"/>
                <w:szCs w:val="20"/>
              </w:rPr>
            </w:pPr>
            <w:r>
              <w:rPr>
                <w:sz w:val="18"/>
                <w:szCs w:val="20"/>
              </w:rPr>
              <w:t>427</w:t>
            </w:r>
          </w:p>
        </w:tc>
        <w:tc>
          <w:tcPr>
            <w:tcW w:w="1387"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no</w:t>
            </w:r>
          </w:p>
        </w:tc>
        <w:tc>
          <w:tcPr>
            <w:tcW w:w="1261"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no</w:t>
            </w:r>
          </w:p>
        </w:tc>
        <w:tc>
          <w:tcPr>
            <w:tcW w:w="1292"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no</w:t>
            </w:r>
          </w:p>
        </w:tc>
        <w:tc>
          <w:tcPr>
            <w:tcW w:w="1429"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vAlign w:val="center"/>
          </w:tcPr>
          <w:p>
            <w:pPr>
              <w:pStyle w:val="Normal"/>
              <w:jc w:val="center"/>
              <w:rPr>
                <w:sz w:val="18"/>
              </w:rPr>
            </w:pPr>
            <w:r>
              <w:rPr>
                <w:sz w:val="18"/>
              </w:rPr>
              <w:t>IS-MA</w:t>
            </w:r>
          </w:p>
        </w:tc>
        <w:tc>
          <w:tcPr>
            <w:tcW w:w="1251"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Pg2</w:t>
            </w:r>
          </w:p>
        </w:tc>
        <w:tc>
          <w:tcPr>
            <w:tcW w:w="1929" w:type="dxa"/>
            <w:tcBorders>
              <w:top w:val="thickThinLargeGap" w:sz="6" w:space="0" w:color="C0C0C0"/>
              <w:left w:val="thickThinLargeGap" w:sz="6" w:space="0" w:color="C0C0C0"/>
              <w:bottom w:val="thickThinLargeGap" w:sz="6" w:space="0" w:color="C0C0C0"/>
              <w:insideH w:val="thickThinLargeGap" w:sz="6" w:space="0" w:color="C0C0C0"/>
              <w:right w:val="thickThinLargeGap" w:sz="6" w:space="0" w:color="C0C0C0"/>
              <w:insideV w:val="thickThinLargeGap" w:sz="6" w:space="0" w:color="C0C0C0"/>
            </w:tcBorders>
            <w:shd w:fill="auto" w:val="clear"/>
            <w:tcMar>
              <w:top w:w="0" w:type="dxa"/>
              <w:left w:w="-30" w:type="dxa"/>
              <w:bottom w:w="0" w:type="dxa"/>
              <w:right w:w="0" w:type="dxa"/>
            </w:tcMar>
          </w:tcPr>
          <w:p>
            <w:pPr>
              <w:pStyle w:val="Normal"/>
              <w:jc w:val="center"/>
              <w:rPr>
                <w:sz w:val="18"/>
              </w:rPr>
            </w:pPr>
            <w:r>
              <w:rPr>
                <w:sz w:val="18"/>
              </w:rPr>
              <w:t>B parte / C parte</w:t>
            </w:r>
          </w:p>
        </w:tc>
      </w:tr>
      <w:tr>
        <w:trPr>
          <w:cantSplit w:val="false"/>
        </w:trPr>
        <w:tc>
          <w:tcPr>
            <w:tcW w:w="569"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left w:w="-15" w:type="dxa"/>
            </w:tcMar>
            <w:vAlign w:val="center"/>
          </w:tcPr>
          <w:p>
            <w:pPr>
              <w:pStyle w:val="Normal"/>
              <w:jc w:val="center"/>
              <w:rPr>
                <w:sz w:val="18"/>
                <w:szCs w:val="20"/>
              </w:rPr>
            </w:pPr>
            <w:r>
              <w:rPr>
                <w:sz w:val="18"/>
                <w:szCs w:val="20"/>
              </w:rPr>
              <w:t>32</w:t>
            </w:r>
          </w:p>
        </w:tc>
        <w:tc>
          <w:tcPr>
            <w:tcW w:w="595"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vAlign w:val="center"/>
          </w:tcPr>
          <w:p>
            <w:pPr>
              <w:pStyle w:val="Normal"/>
              <w:jc w:val="center"/>
              <w:rPr>
                <w:sz w:val="18"/>
                <w:szCs w:val="20"/>
              </w:rPr>
            </w:pPr>
            <w:r>
              <w:rPr>
                <w:sz w:val="18"/>
                <w:szCs w:val="20"/>
              </w:rPr>
              <w:t>428</w:t>
            </w:r>
          </w:p>
        </w:tc>
        <w:tc>
          <w:tcPr>
            <w:tcW w:w="1387"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no</w:t>
            </w:r>
          </w:p>
        </w:tc>
        <w:tc>
          <w:tcPr>
            <w:tcW w:w="1261"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no</w:t>
            </w:r>
          </w:p>
        </w:tc>
        <w:tc>
          <w:tcPr>
            <w:tcW w:w="1292"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no</w:t>
            </w:r>
          </w:p>
        </w:tc>
        <w:tc>
          <w:tcPr>
            <w:tcW w:w="1429"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vAlign w:val="center"/>
          </w:tcPr>
          <w:p>
            <w:pPr>
              <w:pStyle w:val="Normal"/>
              <w:jc w:val="center"/>
              <w:rPr>
                <w:sz w:val="18"/>
                <w:lang w:val="en-GB"/>
              </w:rPr>
            </w:pPr>
            <w:r>
              <w:rPr>
                <w:sz w:val="18"/>
                <w:lang w:val="en-GB"/>
              </w:rPr>
              <w:t>IS-MA</w:t>
            </w:r>
          </w:p>
        </w:tc>
        <w:tc>
          <w:tcPr>
            <w:tcW w:w="1251"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lang w:val="en-GB"/>
              </w:rPr>
            </w:pPr>
            <w:r>
              <w:rPr>
                <w:sz w:val="18"/>
                <w:lang w:val="en-GB"/>
              </w:rPr>
              <w:t>Pg2</w:t>
            </w:r>
          </w:p>
        </w:tc>
        <w:tc>
          <w:tcPr>
            <w:tcW w:w="1929" w:type="dxa"/>
            <w:tcBorders>
              <w:top w:val="thickThinLargeGap" w:sz="6" w:space="0" w:color="C0C0C0"/>
              <w:left w:val="thickThinLargeGap" w:sz="6" w:space="0" w:color="C0C0C0"/>
              <w:bottom w:val="thickThinLargeGap" w:sz="6" w:space="0" w:color="C0C0C0"/>
              <w:insideH w:val="thickThinLargeGap" w:sz="6" w:space="0" w:color="C0C0C0"/>
              <w:right w:val="thickThinLargeGap" w:sz="6" w:space="0" w:color="C0C0C0"/>
              <w:insideV w:val="thickThinLargeGap" w:sz="6" w:space="0" w:color="C0C0C0"/>
            </w:tcBorders>
            <w:shd w:fill="auto" w:val="clear"/>
            <w:tcMar>
              <w:top w:w="0" w:type="dxa"/>
              <w:left w:w="-30" w:type="dxa"/>
              <w:bottom w:w="0" w:type="dxa"/>
              <w:right w:w="0" w:type="dxa"/>
            </w:tcMar>
          </w:tcPr>
          <w:p>
            <w:pPr>
              <w:pStyle w:val="Normal"/>
              <w:jc w:val="center"/>
              <w:rPr>
                <w:sz w:val="18"/>
              </w:rPr>
            </w:pPr>
            <w:r>
              <w:rPr>
                <w:sz w:val="18"/>
              </w:rPr>
              <w:t>B parte / C parte</w:t>
            </w:r>
          </w:p>
        </w:tc>
      </w:tr>
      <w:tr>
        <w:trPr>
          <w:cantSplit w:val="false"/>
        </w:trPr>
        <w:tc>
          <w:tcPr>
            <w:tcW w:w="569"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left w:w="-15" w:type="dxa"/>
            </w:tcMar>
            <w:vAlign w:val="center"/>
          </w:tcPr>
          <w:p>
            <w:pPr>
              <w:pStyle w:val="Normal"/>
              <w:jc w:val="center"/>
              <w:rPr>
                <w:sz w:val="18"/>
                <w:szCs w:val="20"/>
              </w:rPr>
            </w:pPr>
            <w:r>
              <w:rPr>
                <w:sz w:val="18"/>
                <w:szCs w:val="20"/>
              </w:rPr>
              <w:t>32</w:t>
            </w:r>
          </w:p>
        </w:tc>
        <w:tc>
          <w:tcPr>
            <w:tcW w:w="595"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vAlign w:val="center"/>
          </w:tcPr>
          <w:p>
            <w:pPr>
              <w:pStyle w:val="Normal"/>
              <w:jc w:val="center"/>
              <w:rPr>
                <w:sz w:val="18"/>
                <w:szCs w:val="20"/>
              </w:rPr>
            </w:pPr>
            <w:r>
              <w:rPr>
                <w:sz w:val="18"/>
                <w:szCs w:val="20"/>
              </w:rPr>
              <w:t>429</w:t>
            </w:r>
          </w:p>
        </w:tc>
        <w:tc>
          <w:tcPr>
            <w:tcW w:w="1387"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no</w:t>
            </w:r>
          </w:p>
        </w:tc>
        <w:tc>
          <w:tcPr>
            <w:tcW w:w="1261"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no</w:t>
            </w:r>
          </w:p>
        </w:tc>
        <w:tc>
          <w:tcPr>
            <w:tcW w:w="1292"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no</w:t>
            </w:r>
          </w:p>
        </w:tc>
        <w:tc>
          <w:tcPr>
            <w:tcW w:w="1429"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vAlign w:val="center"/>
          </w:tcPr>
          <w:p>
            <w:pPr>
              <w:pStyle w:val="Normal"/>
              <w:jc w:val="center"/>
              <w:rPr>
                <w:sz w:val="18"/>
                <w:lang w:val="en-GB"/>
              </w:rPr>
            </w:pPr>
            <w:r>
              <w:rPr>
                <w:sz w:val="18"/>
                <w:lang w:val="en-GB"/>
              </w:rPr>
              <w:t>IS-MA</w:t>
            </w:r>
          </w:p>
        </w:tc>
        <w:tc>
          <w:tcPr>
            <w:tcW w:w="1251"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lang w:val="en-GB"/>
              </w:rPr>
            </w:pPr>
            <w:r>
              <w:rPr>
                <w:sz w:val="18"/>
                <w:lang w:val="en-GB"/>
              </w:rPr>
              <w:t>Pg2</w:t>
            </w:r>
          </w:p>
        </w:tc>
        <w:tc>
          <w:tcPr>
            <w:tcW w:w="1929" w:type="dxa"/>
            <w:tcBorders>
              <w:top w:val="thickThinLargeGap" w:sz="6" w:space="0" w:color="C0C0C0"/>
              <w:left w:val="thickThinLargeGap" w:sz="6" w:space="0" w:color="C0C0C0"/>
              <w:bottom w:val="thickThinLargeGap" w:sz="6" w:space="0" w:color="C0C0C0"/>
              <w:insideH w:val="thickThinLargeGap" w:sz="6" w:space="0" w:color="C0C0C0"/>
              <w:right w:val="thickThinLargeGap" w:sz="6" w:space="0" w:color="C0C0C0"/>
              <w:insideV w:val="thickThinLargeGap" w:sz="6" w:space="0" w:color="C0C0C0"/>
            </w:tcBorders>
            <w:shd w:fill="auto" w:val="clear"/>
            <w:tcMar>
              <w:top w:w="0" w:type="dxa"/>
              <w:left w:w="-30" w:type="dxa"/>
              <w:bottom w:w="0" w:type="dxa"/>
              <w:right w:w="0" w:type="dxa"/>
            </w:tcMar>
          </w:tcPr>
          <w:p>
            <w:pPr>
              <w:pStyle w:val="Normal"/>
              <w:jc w:val="center"/>
              <w:rPr>
                <w:sz w:val="18"/>
              </w:rPr>
            </w:pPr>
            <w:r>
              <w:rPr>
                <w:sz w:val="18"/>
              </w:rPr>
              <w:t>C parte</w:t>
            </w:r>
          </w:p>
        </w:tc>
      </w:tr>
      <w:tr>
        <w:trPr>
          <w:cantSplit w:val="false"/>
        </w:trPr>
        <w:tc>
          <w:tcPr>
            <w:tcW w:w="569"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left w:w="-15" w:type="dxa"/>
            </w:tcMar>
            <w:vAlign w:val="center"/>
          </w:tcPr>
          <w:p>
            <w:pPr>
              <w:pStyle w:val="Normal"/>
              <w:jc w:val="center"/>
              <w:rPr>
                <w:sz w:val="18"/>
                <w:szCs w:val="20"/>
              </w:rPr>
            </w:pPr>
            <w:r>
              <w:rPr>
                <w:sz w:val="18"/>
                <w:szCs w:val="20"/>
              </w:rPr>
              <w:t>32</w:t>
            </w:r>
          </w:p>
        </w:tc>
        <w:tc>
          <w:tcPr>
            <w:tcW w:w="595"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vAlign w:val="center"/>
          </w:tcPr>
          <w:p>
            <w:pPr>
              <w:pStyle w:val="Normal"/>
              <w:jc w:val="center"/>
              <w:rPr>
                <w:sz w:val="18"/>
                <w:szCs w:val="20"/>
              </w:rPr>
            </w:pPr>
            <w:r>
              <w:rPr>
                <w:sz w:val="18"/>
                <w:szCs w:val="20"/>
              </w:rPr>
              <w:t>430</w:t>
            </w:r>
          </w:p>
        </w:tc>
        <w:tc>
          <w:tcPr>
            <w:tcW w:w="1387"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no</w:t>
            </w:r>
          </w:p>
        </w:tc>
        <w:tc>
          <w:tcPr>
            <w:tcW w:w="1261"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no</w:t>
            </w:r>
          </w:p>
        </w:tc>
        <w:tc>
          <w:tcPr>
            <w:tcW w:w="1292"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no</w:t>
            </w:r>
          </w:p>
        </w:tc>
        <w:tc>
          <w:tcPr>
            <w:tcW w:w="1429"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vAlign w:val="center"/>
          </w:tcPr>
          <w:p>
            <w:pPr>
              <w:pStyle w:val="Normal"/>
              <w:jc w:val="center"/>
              <w:rPr>
                <w:sz w:val="18"/>
              </w:rPr>
            </w:pPr>
            <w:r>
              <w:rPr>
                <w:sz w:val="18"/>
              </w:rPr>
              <w:t>IS-MA</w:t>
            </w:r>
          </w:p>
        </w:tc>
        <w:tc>
          <w:tcPr>
            <w:tcW w:w="1251"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Pg2</w:t>
            </w:r>
          </w:p>
        </w:tc>
        <w:tc>
          <w:tcPr>
            <w:tcW w:w="1929" w:type="dxa"/>
            <w:tcBorders>
              <w:top w:val="thickThinLargeGap" w:sz="6" w:space="0" w:color="C0C0C0"/>
              <w:left w:val="thickThinLargeGap" w:sz="6" w:space="0" w:color="C0C0C0"/>
              <w:bottom w:val="thickThinLargeGap" w:sz="6" w:space="0" w:color="C0C0C0"/>
              <w:insideH w:val="thickThinLargeGap" w:sz="6" w:space="0" w:color="C0C0C0"/>
              <w:right w:val="thickThinLargeGap" w:sz="6" w:space="0" w:color="C0C0C0"/>
              <w:insideV w:val="thickThinLargeGap" w:sz="6" w:space="0" w:color="C0C0C0"/>
            </w:tcBorders>
            <w:shd w:fill="auto" w:val="clear"/>
            <w:tcMar>
              <w:top w:w="0" w:type="dxa"/>
              <w:left w:w="-30" w:type="dxa"/>
              <w:bottom w:w="0" w:type="dxa"/>
              <w:right w:w="0" w:type="dxa"/>
            </w:tcMar>
          </w:tcPr>
          <w:p>
            <w:pPr>
              <w:pStyle w:val="Normal"/>
              <w:jc w:val="center"/>
              <w:rPr>
                <w:sz w:val="18"/>
              </w:rPr>
            </w:pPr>
            <w:r>
              <w:rPr>
                <w:sz w:val="18"/>
              </w:rPr>
              <w:t>C parte</w:t>
            </w:r>
          </w:p>
        </w:tc>
      </w:tr>
      <w:tr>
        <w:trPr>
          <w:cantSplit w:val="false"/>
        </w:trPr>
        <w:tc>
          <w:tcPr>
            <w:tcW w:w="569"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left w:w="-15" w:type="dxa"/>
            </w:tcMar>
            <w:vAlign w:val="center"/>
          </w:tcPr>
          <w:p>
            <w:pPr>
              <w:pStyle w:val="Normal"/>
              <w:jc w:val="center"/>
              <w:rPr>
                <w:sz w:val="18"/>
                <w:szCs w:val="20"/>
              </w:rPr>
            </w:pPr>
            <w:r>
              <w:rPr>
                <w:sz w:val="18"/>
                <w:szCs w:val="20"/>
              </w:rPr>
              <w:t>32</w:t>
            </w:r>
          </w:p>
        </w:tc>
        <w:tc>
          <w:tcPr>
            <w:tcW w:w="595"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vAlign w:val="center"/>
          </w:tcPr>
          <w:p>
            <w:pPr>
              <w:pStyle w:val="Normal"/>
              <w:jc w:val="center"/>
              <w:rPr>
                <w:sz w:val="18"/>
                <w:szCs w:val="20"/>
              </w:rPr>
            </w:pPr>
            <w:r>
              <w:rPr>
                <w:sz w:val="18"/>
                <w:szCs w:val="20"/>
              </w:rPr>
              <w:t>431</w:t>
            </w:r>
          </w:p>
        </w:tc>
        <w:tc>
          <w:tcPr>
            <w:tcW w:w="1387"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no</w:t>
            </w:r>
          </w:p>
        </w:tc>
        <w:tc>
          <w:tcPr>
            <w:tcW w:w="1261"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no</w:t>
            </w:r>
          </w:p>
        </w:tc>
        <w:tc>
          <w:tcPr>
            <w:tcW w:w="1292"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no</w:t>
            </w:r>
          </w:p>
        </w:tc>
        <w:tc>
          <w:tcPr>
            <w:tcW w:w="1429"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vAlign w:val="center"/>
          </w:tcPr>
          <w:p>
            <w:pPr>
              <w:pStyle w:val="Normal"/>
              <w:jc w:val="center"/>
              <w:rPr>
                <w:sz w:val="18"/>
              </w:rPr>
            </w:pPr>
            <w:r>
              <w:rPr>
                <w:sz w:val="18"/>
              </w:rPr>
              <w:t>IS-MA</w:t>
            </w:r>
          </w:p>
        </w:tc>
        <w:tc>
          <w:tcPr>
            <w:tcW w:w="1251"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Pg2</w:t>
            </w:r>
          </w:p>
        </w:tc>
        <w:tc>
          <w:tcPr>
            <w:tcW w:w="1929" w:type="dxa"/>
            <w:tcBorders>
              <w:top w:val="thickThinLargeGap" w:sz="6" w:space="0" w:color="C0C0C0"/>
              <w:left w:val="thickThinLargeGap" w:sz="6" w:space="0" w:color="C0C0C0"/>
              <w:bottom w:val="thickThinLargeGap" w:sz="6" w:space="0" w:color="C0C0C0"/>
              <w:insideH w:val="thickThinLargeGap" w:sz="6" w:space="0" w:color="C0C0C0"/>
              <w:right w:val="thickThinLargeGap" w:sz="6" w:space="0" w:color="C0C0C0"/>
              <w:insideV w:val="thickThinLargeGap" w:sz="6" w:space="0" w:color="C0C0C0"/>
            </w:tcBorders>
            <w:shd w:fill="auto" w:val="clear"/>
            <w:tcMar>
              <w:top w:w="0" w:type="dxa"/>
              <w:left w:w="-30" w:type="dxa"/>
              <w:bottom w:w="0" w:type="dxa"/>
              <w:right w:w="0" w:type="dxa"/>
            </w:tcMar>
          </w:tcPr>
          <w:p>
            <w:pPr>
              <w:pStyle w:val="Normal"/>
              <w:jc w:val="center"/>
              <w:rPr>
                <w:sz w:val="18"/>
              </w:rPr>
            </w:pPr>
            <w:r>
              <w:rPr>
                <w:sz w:val="18"/>
              </w:rPr>
              <w:t>C parte</w:t>
            </w:r>
          </w:p>
        </w:tc>
      </w:tr>
      <w:tr>
        <w:trPr>
          <w:cantSplit w:val="false"/>
        </w:trPr>
        <w:tc>
          <w:tcPr>
            <w:tcW w:w="569"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left w:w="-15" w:type="dxa"/>
            </w:tcMar>
            <w:vAlign w:val="center"/>
          </w:tcPr>
          <w:p>
            <w:pPr>
              <w:pStyle w:val="Normal"/>
              <w:jc w:val="center"/>
              <w:rPr>
                <w:sz w:val="18"/>
                <w:szCs w:val="20"/>
              </w:rPr>
            </w:pPr>
            <w:r>
              <w:rPr>
                <w:sz w:val="18"/>
                <w:szCs w:val="20"/>
              </w:rPr>
              <w:t>32</w:t>
            </w:r>
          </w:p>
        </w:tc>
        <w:tc>
          <w:tcPr>
            <w:tcW w:w="595"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vAlign w:val="center"/>
          </w:tcPr>
          <w:p>
            <w:pPr>
              <w:pStyle w:val="Normal"/>
              <w:jc w:val="center"/>
              <w:rPr>
                <w:sz w:val="18"/>
                <w:szCs w:val="20"/>
              </w:rPr>
            </w:pPr>
            <w:r>
              <w:rPr>
                <w:sz w:val="18"/>
                <w:szCs w:val="20"/>
              </w:rPr>
              <w:t>543</w:t>
            </w:r>
          </w:p>
        </w:tc>
        <w:tc>
          <w:tcPr>
            <w:tcW w:w="1387"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no</w:t>
            </w:r>
          </w:p>
        </w:tc>
        <w:tc>
          <w:tcPr>
            <w:tcW w:w="1261"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no</w:t>
            </w:r>
          </w:p>
        </w:tc>
        <w:tc>
          <w:tcPr>
            <w:tcW w:w="1292"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no</w:t>
            </w:r>
          </w:p>
        </w:tc>
        <w:tc>
          <w:tcPr>
            <w:tcW w:w="1429"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vAlign w:val="center"/>
          </w:tcPr>
          <w:p>
            <w:pPr>
              <w:pStyle w:val="Normal"/>
              <w:jc w:val="center"/>
              <w:rPr>
                <w:sz w:val="18"/>
                <w:lang w:val="en-GB"/>
              </w:rPr>
            </w:pPr>
            <w:r>
              <w:rPr>
                <w:sz w:val="18"/>
                <w:lang w:val="en-GB"/>
              </w:rPr>
              <w:t>IS-MA</w:t>
            </w:r>
          </w:p>
        </w:tc>
        <w:tc>
          <w:tcPr>
            <w:tcW w:w="1251"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Pg2</w:t>
            </w:r>
          </w:p>
        </w:tc>
        <w:tc>
          <w:tcPr>
            <w:tcW w:w="1929" w:type="dxa"/>
            <w:tcBorders>
              <w:top w:val="thickThinLargeGap" w:sz="6" w:space="0" w:color="C0C0C0"/>
              <w:left w:val="thickThinLargeGap" w:sz="6" w:space="0" w:color="C0C0C0"/>
              <w:bottom w:val="thickThinLargeGap" w:sz="6" w:space="0" w:color="C0C0C0"/>
              <w:insideH w:val="thickThinLargeGap" w:sz="6" w:space="0" w:color="C0C0C0"/>
              <w:right w:val="thickThinLargeGap" w:sz="6" w:space="0" w:color="C0C0C0"/>
              <w:insideV w:val="thickThinLargeGap" w:sz="6" w:space="0" w:color="C0C0C0"/>
            </w:tcBorders>
            <w:shd w:fill="auto" w:val="clear"/>
            <w:tcMar>
              <w:top w:w="0" w:type="dxa"/>
              <w:left w:w="-30" w:type="dxa"/>
              <w:bottom w:w="0" w:type="dxa"/>
              <w:right w:w="0" w:type="dxa"/>
            </w:tcMar>
          </w:tcPr>
          <w:p>
            <w:pPr>
              <w:pStyle w:val="Normal"/>
              <w:jc w:val="center"/>
              <w:rPr>
                <w:sz w:val="18"/>
              </w:rPr>
            </w:pPr>
            <w:r>
              <w:rPr>
                <w:sz w:val="18"/>
              </w:rPr>
              <w:t>C parte</w:t>
            </w:r>
          </w:p>
        </w:tc>
      </w:tr>
      <w:tr>
        <w:trPr>
          <w:cantSplit w:val="false"/>
        </w:trPr>
        <w:tc>
          <w:tcPr>
            <w:tcW w:w="569"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left w:w="-15" w:type="dxa"/>
            </w:tcMar>
            <w:vAlign w:val="center"/>
          </w:tcPr>
          <w:p>
            <w:pPr>
              <w:pStyle w:val="Normal"/>
              <w:jc w:val="center"/>
              <w:rPr>
                <w:sz w:val="18"/>
                <w:szCs w:val="20"/>
              </w:rPr>
            </w:pPr>
            <w:r>
              <w:rPr>
                <w:sz w:val="18"/>
                <w:szCs w:val="20"/>
              </w:rPr>
              <w:t>32</w:t>
            </w:r>
          </w:p>
        </w:tc>
        <w:tc>
          <w:tcPr>
            <w:tcW w:w="595"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vAlign w:val="center"/>
          </w:tcPr>
          <w:p>
            <w:pPr>
              <w:pStyle w:val="Normal"/>
              <w:jc w:val="center"/>
              <w:rPr>
                <w:sz w:val="18"/>
                <w:szCs w:val="20"/>
              </w:rPr>
            </w:pPr>
            <w:r>
              <w:rPr>
                <w:sz w:val="18"/>
                <w:szCs w:val="20"/>
              </w:rPr>
              <w:t>562</w:t>
            </w:r>
          </w:p>
        </w:tc>
        <w:tc>
          <w:tcPr>
            <w:tcW w:w="1387"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no</w:t>
            </w:r>
          </w:p>
        </w:tc>
        <w:tc>
          <w:tcPr>
            <w:tcW w:w="1261"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no</w:t>
            </w:r>
          </w:p>
        </w:tc>
        <w:tc>
          <w:tcPr>
            <w:tcW w:w="1292"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no</w:t>
            </w:r>
          </w:p>
        </w:tc>
        <w:tc>
          <w:tcPr>
            <w:tcW w:w="1429"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vAlign w:val="center"/>
          </w:tcPr>
          <w:p>
            <w:pPr>
              <w:pStyle w:val="Normal"/>
              <w:jc w:val="center"/>
              <w:rPr>
                <w:sz w:val="18"/>
              </w:rPr>
            </w:pPr>
            <w:r>
              <w:rPr>
                <w:sz w:val="18"/>
              </w:rPr>
              <w:t>IS-MA</w:t>
            </w:r>
          </w:p>
        </w:tc>
        <w:tc>
          <w:tcPr>
            <w:tcW w:w="1251" w:type="dxa"/>
            <w:tcBorders>
              <w:top w:val="thickThinLargeGap" w:sz="6" w:space="0" w:color="C0C0C0"/>
              <w:left w:val="thickThinLargeGap" w:sz="6" w:space="0" w:color="C0C0C0"/>
              <w:bottom w:val="thickThinLargeGap" w:sz="6" w:space="0" w:color="C0C0C0"/>
              <w:insideH w:val="thickThinLargeGap" w:sz="6" w:space="0" w:color="C0C0C0"/>
              <w:right w:val="nil"/>
              <w:insideV w:val="nil"/>
            </w:tcBorders>
            <w:shd w:fill="auto" w:val="clear"/>
            <w:tcMar>
              <w:top w:w="0" w:type="dxa"/>
              <w:left w:w="-30" w:type="dxa"/>
              <w:bottom w:w="0" w:type="dxa"/>
              <w:right w:w="0" w:type="dxa"/>
            </w:tcMar>
          </w:tcPr>
          <w:p>
            <w:pPr>
              <w:pStyle w:val="Normal"/>
              <w:jc w:val="center"/>
              <w:rPr>
                <w:sz w:val="18"/>
              </w:rPr>
            </w:pPr>
            <w:r>
              <w:rPr>
                <w:sz w:val="18"/>
              </w:rPr>
              <w:t>Pg0</w:t>
            </w:r>
          </w:p>
        </w:tc>
        <w:tc>
          <w:tcPr>
            <w:tcW w:w="1929" w:type="dxa"/>
            <w:tcBorders>
              <w:top w:val="thickThinLargeGap" w:sz="6" w:space="0" w:color="C0C0C0"/>
              <w:left w:val="thickThinLargeGap" w:sz="6" w:space="0" w:color="C0C0C0"/>
              <w:bottom w:val="thickThinLargeGap" w:sz="6" w:space="0" w:color="C0C0C0"/>
              <w:insideH w:val="thickThinLargeGap" w:sz="6" w:space="0" w:color="C0C0C0"/>
              <w:right w:val="thickThinLargeGap" w:sz="6" w:space="0" w:color="C0C0C0"/>
              <w:insideV w:val="thickThinLargeGap" w:sz="6" w:space="0" w:color="C0C0C0"/>
            </w:tcBorders>
            <w:shd w:fill="auto" w:val="clear"/>
            <w:tcMar>
              <w:top w:w="0" w:type="dxa"/>
              <w:left w:w="-30" w:type="dxa"/>
              <w:bottom w:w="0" w:type="dxa"/>
              <w:right w:w="0" w:type="dxa"/>
            </w:tcMar>
          </w:tcPr>
          <w:p>
            <w:pPr>
              <w:pStyle w:val="Normal"/>
              <w:jc w:val="center"/>
              <w:rPr>
                <w:sz w:val="18"/>
              </w:rPr>
            </w:pPr>
            <w:r>
              <w:rPr>
                <w:sz w:val="18"/>
              </w:rPr>
              <w:t>B</w:t>
            </w:r>
          </w:p>
        </w:tc>
      </w:tr>
    </w:tbl>
    <w:p>
      <w:pPr>
        <w:pStyle w:val="NormaleWeb"/>
        <w:rPr>
          <w:sz w:val="14"/>
          <w:szCs w:val="14"/>
        </w:rPr>
      </w:pPr>
      <w:r>
        <w:rPr>
          <w:sz w:val="14"/>
          <w:szCs w:val="14"/>
        </w:rPr>
      </w:r>
    </w:p>
    <w:p>
      <w:pPr>
        <w:pStyle w:val="NormaleWeb"/>
        <w:jc w:val="both"/>
        <w:rPr>
          <w:b/>
          <w:bCs/>
          <w:sz w:val="18"/>
          <w:szCs w:val="20"/>
        </w:rPr>
      </w:pPr>
      <w:r>
        <w:rPr>
          <w:b/>
          <w:bCs/>
          <w:sz w:val="18"/>
          <w:szCs w:val="20"/>
        </w:rPr>
        <w:t xml:space="preserve">I mappali di cui sopra dovranno comunque intendersi assoggettati anche al vincolo di tutela di cui all’art. </w:t>
      </w:r>
      <w:r>
        <w:rPr>
          <w:b/>
          <w:bCs/>
          <w:sz w:val="18"/>
          <w:szCs w:val="20"/>
          <w:u w:val="single"/>
        </w:rPr>
        <w:t>142, comma 1, lettera g)</w:t>
      </w:r>
      <w:r>
        <w:rPr>
          <w:b/>
          <w:bCs/>
          <w:sz w:val="18"/>
          <w:szCs w:val="20"/>
        </w:rPr>
        <w:t xml:space="preserve"> </w:t>
      </w:r>
      <w:r>
        <w:rPr>
          <w:b/>
          <w:bCs/>
          <w:i/>
          <w:iCs/>
          <w:sz w:val="18"/>
          <w:szCs w:val="20"/>
        </w:rPr>
        <w:t>- i territori coperti da foreste e da boschi, ancorché percorsi o danneggiati dal fuoco, e quelli sottoposti a vincolo di rimboschimento</w:t>
      </w:r>
      <w:r>
        <w:rPr>
          <w:b/>
          <w:bCs/>
          <w:sz w:val="18"/>
          <w:szCs w:val="20"/>
        </w:rPr>
        <w:t xml:space="preserve">, del D.Lgs. 42/2004 e ss. mm. ed ii, qualora ricorrano i presupposti di cui all’art. 2 della L.R. 22/01/1999, n. 4. </w:t>
      </w:r>
    </w:p>
    <w:p>
      <w:pPr>
        <w:pStyle w:val="NormaleWeb"/>
        <w:rPr>
          <w:sz w:val="14"/>
          <w:szCs w:val="14"/>
        </w:rPr>
      </w:pPr>
      <w:r>
        <w:rPr>
          <w:sz w:val="14"/>
          <w:szCs w:val="14"/>
        </w:rPr>
      </w:r>
    </w:p>
    <w:p>
      <w:pPr>
        <w:pStyle w:val="NormaleWeb"/>
        <w:rPr>
          <w:sz w:val="18"/>
        </w:rPr>
      </w:pPr>
      <w:r>
        <w:rPr>
          <w:sz w:val="18"/>
        </w:rPr>
        <w:t>Si rilascia il presente certificato in carta USO BOLLO per gli usi consentiti dalla legge.</w:t>
      </w:r>
    </w:p>
    <w:p>
      <w:pPr>
        <w:pStyle w:val="Normal"/>
        <w:rPr>
          <w:sz w:val="18"/>
        </w:rPr>
      </w:pPr>
      <w:r>
        <w:rPr>
          <w:sz w:val="18"/>
        </w:rPr>
        <w:br/>
        <w:t xml:space="preserve">Taggia, lì </w:t>
        <w:br/>
      </w:r>
    </w:p>
    <w:p>
      <w:pPr>
        <w:pStyle w:val="Normal"/>
        <w:rPr>
          <w:sz w:val="18"/>
          <w:szCs w:val="20"/>
        </w:rPr>
      </w:pPr>
      <w:r>
        <w:rPr>
          <w:sz w:val="18"/>
          <w:szCs w:val="20"/>
        </w:rPr>
        <w:br/>
        <w:br/>
        <w:br/>
        <w:br/>
        <w:br/>
      </w:r>
      <w:r>
        <w:pict>
          <v:rect fillcolor="#FFFFFF" style="position:absolute;width:163.3pt;height:35.7pt;margin-top:13.35pt;margin-left:318.6pt">
            <v:fill opacity="0f"/>
            <v:textbox>
              <w:txbxContent>
                <w:tbl>
                  <w:tblPr>
                    <w:jc w:val="left"/>
                    <w:tblInd w:w="15" w:type="dxa"/>
                    <w:tblBorders>
                      <w:top w:val="nil"/>
                      <w:left w:val="nil"/>
                      <w:bottom w:val="nil"/>
                      <w:insideH w:val="nil"/>
                      <w:right w:val="nil"/>
                      <w:insideV w:val="nil"/>
                    </w:tblBorders>
                    <w:tblCellMar>
                      <w:top w:w="15" w:type="dxa"/>
                      <w:left w:w="15" w:type="dxa"/>
                      <w:bottom w:w="15" w:type="dxa"/>
                      <w:right w:w="15" w:type="dxa"/>
                    </w:tblCellMar>
                  </w:tblPr>
                  <w:tblGrid>
                    <w:gridCol w:w="3266"/>
                  </w:tblGrid>
                  <w:tr>
                    <w:trPr>
                      <w:cantSplit w:val="false"/>
                    </w:trPr>
                    <w:tc>
                      <w:tcPr>
                        <w:tcW w:w="3266" w:type="dxa"/>
                        <w:tcBorders>
                          <w:top w:val="nil"/>
                          <w:left w:val="nil"/>
                          <w:bottom w:val="nil"/>
                          <w:insideH w:val="nil"/>
                          <w:right w:val="nil"/>
                          <w:insideV w:val="nil"/>
                        </w:tcBorders>
                        <w:shd w:fill="auto" w:val="clear"/>
                        <w:vAlign w:val="center"/>
                      </w:tcPr>
                      <w:p>
                        <w:pPr>
                          <w:pStyle w:val="Normal"/>
                          <w:jc w:val="center"/>
                          <w:rPr>
                            <w:sz w:val="18"/>
                            <w:szCs w:val="18"/>
                          </w:rPr>
                        </w:pPr>
                        <w:r>
                          <w:rPr>
                            <w:sz w:val="18"/>
                            <w:szCs w:val="18"/>
                          </w:rPr>
                          <w:t xml:space="preserve">Il RESPONSABILE DELLO SPORTELLO </w:t>
                        </w:r>
                      </w:p>
                    </w:tc>
                  </w:tr>
                  <w:tr>
                    <w:trPr>
                      <w:cantSplit w:val="false"/>
                    </w:trPr>
                    <w:tc>
                      <w:tcPr>
                        <w:tcW w:w="3266" w:type="dxa"/>
                        <w:tcBorders>
                          <w:top w:val="nil"/>
                          <w:left w:val="nil"/>
                          <w:bottom w:val="nil"/>
                          <w:insideH w:val="nil"/>
                          <w:right w:val="nil"/>
                          <w:insideV w:val="nil"/>
                        </w:tcBorders>
                        <w:shd w:fill="auto" w:val="clear"/>
                        <w:vAlign w:val="center"/>
                      </w:tcPr>
                      <w:p>
                        <w:pPr>
                          <w:pStyle w:val="Normal"/>
                          <w:jc w:val="center"/>
                          <w:rPr>
                            <w:sz w:val="18"/>
                            <w:szCs w:val="18"/>
                          </w:rPr>
                        </w:pPr>
                        <w:r>
                          <w:rPr>
                            <w:sz w:val="18"/>
                            <w:szCs w:val="18"/>
                          </w:rPr>
                          <w:t xml:space="preserve">UNICO PER L'EDILIZIA </w:t>
                        </w:r>
                      </w:p>
                    </w:tc>
                  </w:tr>
                  <w:tr>
                    <w:trPr>
                      <w:cantSplit w:val="false"/>
                    </w:trPr>
                    <w:tc>
                      <w:tcPr>
                        <w:tcW w:w="3266" w:type="dxa"/>
                        <w:tcBorders>
                          <w:top w:val="nil"/>
                          <w:left w:val="nil"/>
                          <w:bottom w:val="nil"/>
                          <w:insideH w:val="nil"/>
                          <w:right w:val="nil"/>
                          <w:insideV w:val="nil"/>
                        </w:tcBorders>
                        <w:shd w:fill="auto" w:val="clear"/>
                        <w:vAlign w:val="center"/>
                      </w:tcPr>
                      <w:p>
                        <w:pPr>
                          <w:pStyle w:val="Normal"/>
                          <w:jc w:val="center"/>
                          <w:rPr>
                            <w:sz w:val="18"/>
                          </w:rPr>
                        </w:pPr>
                        <w:r>
                          <w:rPr>
                            <w:sz w:val="18"/>
                          </w:rPr>
                          <w:t xml:space="preserve">Arch. Giulio Marino </w:t>
                        </w:r>
                      </w:p>
                    </w:tc>
                  </w:tr>
                </w:tbl>
              </w:txbxContent>
            </v:textbox>
            <w10:wrap type="square"/>
          </v:rect>
        </w:pict>
      </w:r>
    </w:p>
    <w:p>
      <w:pPr>
        <w:pStyle w:val="Normal"/>
        <w:rPr>
          <w:sz w:val="18"/>
          <w:szCs w:val="20"/>
        </w:rPr>
      </w:pPr>
      <w:r>
        <w:rPr>
          <w:sz w:val="18"/>
          <w:szCs w:val="20"/>
        </w:rPr>
      </w:r>
    </w:p>
    <w:tbl>
      <w:tblPr>
        <w:jc w:val="center"/>
        <w:tblInd w:w="0" w:type="dxa"/>
        <w:tblBorders>
          <w:top w:val="nil"/>
          <w:left w:val="nil"/>
          <w:bottom w:val="nil"/>
          <w:insideH w:val="nil"/>
          <w:right w:val="nil"/>
          <w:insideV w:val="nil"/>
        </w:tblBorders>
        <w:tblCellMar>
          <w:top w:w="15" w:type="dxa"/>
          <w:left w:w="15" w:type="dxa"/>
          <w:bottom w:w="15" w:type="dxa"/>
          <w:right w:w="15" w:type="dxa"/>
        </w:tblCellMar>
      </w:tblPr>
      <w:tblGrid>
        <w:gridCol w:w="8639"/>
      </w:tblGrid>
      <w:tr>
        <w:trPr>
          <w:cantSplit w:val="false"/>
        </w:trPr>
        <w:tc>
          <w:tcPr>
            <w:tcW w:w="8639" w:type="dxa"/>
            <w:tcBorders>
              <w:top w:val="nil"/>
              <w:left w:val="nil"/>
              <w:bottom w:val="nil"/>
              <w:insideH w:val="nil"/>
              <w:right w:val="nil"/>
              <w:insideV w:val="nil"/>
            </w:tcBorders>
            <w:shd w:fill="auto" w:val="clear"/>
            <w:vAlign w:val="center"/>
          </w:tcPr>
          <w:p>
            <w:pPr>
              <w:pStyle w:val="NormaleWeb"/>
              <w:jc w:val="center"/>
              <w:rPr>
                <w:sz w:val="18"/>
                <w:szCs w:val="20"/>
              </w:rPr>
            </w:pPr>
            <w:r>
              <w:rPr>
                <w:sz w:val="18"/>
                <w:szCs w:val="20"/>
              </w:rPr>
              <w:t>Via S. Francesco, 441 - CAP 18011 - Tel. 0184/476222 Codice Fiscale - Partita IVA n. 00089460083 - www.Taggia.it</w:t>
            </w:r>
          </w:p>
        </w:tc>
      </w:tr>
    </w:tbl>
    <w:p>
      <w:pPr>
        <w:pStyle w:val="Normal"/>
        <w:rPr/>
      </w:pPr>
      <w:r>
        <w:rPr/>
      </w:r>
    </w:p>
    <w:sectPr>
      <w:type w:val="nextPage"/>
      <w:pgSz w:w="11906" w:h="16838"/>
      <w:pgMar w:left="1134" w:right="1134" w:header="0" w:top="719" w:footer="0" w:bottom="53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ymbo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0"/>
      <w:numFmt w:val="bullet"/>
      <w:lvlText w:val="-"/>
      <w:lvlJc w:val="left"/>
      <w:pPr>
        <w:tabs>
          <w:tab w:val="num" w:pos="720"/>
        </w:tabs>
        <w:ind w:left="720" w:hanging="360"/>
      </w:pPr>
      <w:rPr>
        <w:rFonts w:ascii="Times New Roman" w:hAnsi="Times New Roman" w:cs="Times New Roman" w:hint="default"/>
        <w:sz w:val="19"/>
        <w:szCs w:val="19"/>
      </w:rPr>
    </w:lvl>
  </w:abstractNum>
  <w:abstractNum w:abstractNumId="3">
    <w:lvl w:ilvl="0">
      <w:start w:val="0"/>
      <w:numFmt w:val="bullet"/>
      <w:lvlText w:val="-"/>
      <w:lvlJc w:val="left"/>
      <w:pPr>
        <w:tabs>
          <w:tab w:val="num" w:pos="720"/>
        </w:tabs>
        <w:ind w:left="720" w:hanging="360"/>
      </w:pPr>
      <w:rPr>
        <w:rFonts w:ascii="Times New Roman" w:hAnsi="Times New Roman" w:cs="Times New Roman"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it-IT" w:bidi="ar-SA" w:eastAsia="zh-CN"/>
    </w:rPr>
  </w:style>
  <w:style w:type="paragraph" w:styleId="Titolo1">
    <w:name w:val="Titolo 1"/>
    <w:basedOn w:val="Normal"/>
    <w:next w:val="Normal"/>
    <w:pPr>
      <w:keepNext/>
      <w:numPr>
        <w:ilvl w:val="0"/>
        <w:numId w:val="1"/>
      </w:numPr>
      <w:jc w:val="center"/>
      <w:outlineLvl w:val="0"/>
      <w:outlineLvl w:val="0"/>
    </w:pPr>
    <w:rPr>
      <w:b/>
      <w:bCs/>
      <w:i/>
      <w:iCs/>
      <w:sz w:val="18"/>
    </w:rPr>
  </w:style>
  <w:style w:type="character" w:styleId="WW8Num1z0">
    <w:name w:val="WW8Num1z0"/>
    <w:rPr>
      <w:rFonts w:ascii="Times New Roman" w:hAnsi="Times New Roman" w:cs="Times New Roman"/>
      <w:sz w:val="19"/>
      <w:szCs w:val="19"/>
    </w:rPr>
  </w:style>
  <w:style w:type="character" w:styleId="WW8Num2z0">
    <w:name w:val="WW8Num2z0"/>
    <w:rPr>
      <w:rFonts w:ascii="Times New Roman" w:hAnsi="Times New Roman" w:eastAsia="Times New Roman" w:cs="Times New Roman"/>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2z3">
    <w:name w:val="WW8Num2z3"/>
    <w:rPr>
      <w:rFonts w:ascii="Symbol" w:hAnsi="Symbol" w:cs="Symbol"/>
    </w:rPr>
  </w:style>
  <w:style w:type="character" w:styleId="Carpredefinitoparagrafo">
    <w:name w:val="Car. predefinito paragrafo"/>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paragraph" w:styleId="Corpodeltesto3">
    <w:name w:val="Corpo del testo 3"/>
    <w:basedOn w:val="Normal"/>
    <w:pPr>
      <w:jc w:val="both"/>
    </w:pPr>
    <w:rPr>
      <w:b/>
      <w:bCs/>
      <w:sz w:val="20"/>
    </w:rPr>
  </w:style>
  <w:style w:type="paragraph" w:styleId="NormaleWeb">
    <w:name w:val="Normale (Web)"/>
    <w:basedOn w:val="Normal"/>
    <w:pPr/>
    <w:rPr/>
  </w:style>
  <w:style w:type="paragraph" w:styleId="Contenutotabella">
    <w:name w:val="Contenuto tabella"/>
    <w:basedOn w:val="Normal"/>
    <w:pPr>
      <w:suppressLineNumbers/>
    </w:pPr>
    <w:rPr/>
  </w:style>
  <w:style w:type="paragraph" w:styleId="Titolotabella">
    <w:name w:val="Titolo tabella"/>
    <w:basedOn w:val="Contenutotabella"/>
    <w:pPr>
      <w:suppressLineNumbers/>
      <w:jc w:val="center"/>
    </w:pPr>
    <w:rPr>
      <w:b/>
      <w:bCs/>
    </w:rPr>
  </w:style>
  <w:style w:type="paragraph" w:styleId="Contenutocornice">
    <w:name w:val="Contenuto cornice"/>
    <w:basedOn w:val="Normal"/>
    <w:pPr/>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1680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2017-01-09T08:20:00Z</dcterms:created>
  <dc:creator>manesero.giuliella</dc:creator>
  <dc:language>it-IT</dc:language>
  <cp:lastModifiedBy>Comune Taggia</cp:lastModifiedBy>
  <dcterms:modified xsi:type="dcterms:W3CDTF">2017-01-09T08:50:00Z</dcterms:modified>
  <cp:revision>17</cp:revision>
  <dc:title> </dc:title>
</cp:coreProperties>
</file>