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834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</w:t>
      </w:r>
    </w:p>
    <w:p>
      <w:pPr>
        <w:pStyle w:val="Normal"/>
        <w:jc w:val="center"/>
        <w:rPr/>
      </w:pPr>
      <w:r>
        <w:rPr/>
        <w:t>LAVORI PUBBLICI -AMBIENTE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9" w:type="dxa"/>
        <w:jc w:val="left"/>
        <w:tblInd w:w="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8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79"/>
        <w:gridCol w:w="5099"/>
      </w:tblGrid>
      <w:tr>
        <w:trPr/>
        <w:tc>
          <w:tcPr>
            <w:tcW w:w="4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8" w:type="dxa"/>
            </w:tcMar>
          </w:tcPr>
          <w:p>
            <w:pPr>
              <w:pStyle w:val="Contenutocornice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rPr/>
            </w:pPr>
            <w:r>
              <w:rPr/>
            </w:r>
          </w:p>
          <w:p>
            <w:pPr>
              <w:pStyle w:val="Contenutocornice"/>
              <w:rPr/>
            </w:pPr>
            <w:r>
              <w:rPr/>
            </w:r>
          </w:p>
        </w:tc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38" w:type="dxa"/>
            </w:tcMar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firstRow="1" w:noVBand="1" w:lastRow="0" w:firstColumn="1" w:lastColumn="0" w:noHBand="0" w:val="04a0"/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color="auto"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95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38" w:type="dxa"/>
            </w:tcMar>
          </w:tcPr>
          <w:p>
            <w:pPr>
              <w:pStyle w:val="Contenutocornice"/>
              <w:rPr/>
            </w:pPr>
            <w:r>
              <w:rPr/>
              <w:t>C.U. [data_rilascio_ut] n. [numero_parere_ut]</w:t>
            </w:r>
          </w:p>
          <w:p>
            <w:pPr>
              <w:pStyle w:val="Contenutocornice"/>
              <w:rPr/>
            </w:pPr>
            <w:r>
              <w:rPr/>
              <w:t>C.P. [data_rilascio_clp] n. [numero_parere_clp]</w:t>
            </w:r>
          </w:p>
        </w:tc>
      </w:tr>
    </w:tbl>
    <w:p>
      <w:pPr>
        <w:pStyle w:val="Normal"/>
        <w:ind w:left="4891" w:hanging="0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color w:val="000000"/>
          <w:sz w:val="20"/>
        </w:rPr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rPr/>
      </w:pPr>
      <w:r>
        <w:rPr>
          <w:rFonts w:cs="Times New Roman"/>
          <w:color w:val="000000"/>
          <w:sz w:val="22"/>
          <w:szCs w:val="22"/>
        </w:rPr>
        <w:t>Vista l'istanza presentata da [elenco_richiedenti] per [oggetto] in [ubicazione]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jc w:val="both"/>
        <w:rPr/>
      </w:pPr>
      <w:r>
        <w:rPr>
          <w:rFonts w:cs="Times New Roman"/>
          <w:color w:val="000000"/>
          <w:sz w:val="22"/>
          <w:szCs w:val="22"/>
        </w:rPr>
        <w:t>Vista il D.P.R. 06.06.2001 n. 380;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jc w:val="both"/>
        <w:rPr/>
      </w:pPr>
      <w:r>
        <w:rPr>
          <w:rFonts w:cs="Times New Roman"/>
          <w:color w:val="000000"/>
          <w:sz w:val="22"/>
          <w:szCs w:val="22"/>
        </w:rPr>
        <w:t>Vista la Legge Regionale 07.04.95 n. 25;</w:t>
      </w:r>
    </w:p>
    <w:p>
      <w:pPr>
        <w:pStyle w:val="Corpodeltesto"/>
        <w:widowControl/>
        <w:spacing w:before="0" w:after="0"/>
        <w:jc w:val="both"/>
        <w:rPr/>
      </w:pPr>
      <w:r>
        <w:rPr>
          <w:rFonts w:cs="Times New Roman"/>
          <w:color w:val="000000"/>
          <w:sz w:val="22"/>
          <w:szCs w:val="22"/>
        </w:rPr>
        <w:t>Per il perfezionamento della pratica in oggetto e successivo rilascio del titolo abilitativo, per cui la Commissione Ufficio nella seduta del [data_rilascio_ut] n. [numero_parere_ut] ha espresso parere “[esito_ut]”,</w:t>
      </w:r>
    </w:p>
    <w:p>
      <w:pPr>
        <w:pStyle w:val="Corpodeltesto"/>
        <w:widowControl/>
        <w:spacing w:before="0" w:after="0"/>
        <w:jc w:val="both"/>
        <w:rPr/>
      </w:pPr>
      <w:r>
        <w:rPr>
          <w:rFonts w:cs="Times New Roman"/>
          <w:color w:val="000000"/>
          <w:sz w:val="22"/>
          <w:szCs w:val="22"/>
        </w:rPr>
        <w:t>Commissione Locale per il Paesaggio nella seduta del [data_rilascio_clp] n. [numero_parere_clp], ha espresso parere: “[esito_clp]".</w:t>
      </w:r>
    </w:p>
    <w:p>
      <w:pPr>
        <w:pStyle w:val="Corpodeltesto"/>
        <w:widowControl/>
        <w:rPr/>
      </w:pPr>
      <w:bookmarkStart w:id="0" w:name="_GoBack"/>
      <w:bookmarkEnd w:id="0"/>
      <w:r>
        <w:rPr>
          <w:rFonts w:cs="Times New Roman"/>
          <w:color w:val="000000"/>
          <w:sz w:val="22"/>
          <w:szCs w:val="22"/>
        </w:rPr>
        <w:t>è necessario che l'interessato produca a questo Ufficio Urbanistica:</w:t>
        <w:br/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[oneri_totale]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Euro [oneri_totale] (</w:t>
      </w:r>
      <w:r>
        <w:rPr>
          <w:rFonts w:cs="Times New Roman"/>
          <w:i/>
          <w:color w:val="000000"/>
          <w:sz w:val="22"/>
          <w:szCs w:val="22"/>
        </w:rPr>
        <w:t>qualora i lavori realizzati in difformità, siano stati realizzati in epoca superiore ad anni 10, (documentata da atti ufficiali) il versamento del contributo di costruzione è assoggettato al termine di prescrizione ordinario (ex art. 2946 Cod. Civ. Prescrizione ordinaria) e pertanto non è dovuto</w:t>
      </w:r>
      <w:r>
        <w:rPr>
          <w:rFonts w:cs="Times New Roman"/>
          <w:color w:val="000000"/>
          <w:sz w:val="22"/>
          <w:szCs w:val="22"/>
        </w:rPr>
        <w:t>)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[oblazione_totali] relativo al pagamento della sanzione /oblazione ex art. 43/49 della L.R. 16 del 6/06/2008 integrata con la L.R. n.3 del 4/02/2013 e, s.m.i.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[indennita_totali]</w:t>
      </w:r>
      <w:r>
        <w:rPr>
          <w:rFonts w:cs="Times New Roman"/>
          <w:b/>
          <w:color w:val="000000"/>
          <w:sz w:val="22"/>
          <w:szCs w:val="22"/>
        </w:rPr>
        <w:t> </w:t>
      </w:r>
      <w:r>
        <w:rPr>
          <w:rFonts w:cs="Times New Roman"/>
          <w:color w:val="000000"/>
          <w:sz w:val="22"/>
          <w:szCs w:val="22"/>
        </w:rPr>
        <w:t>relativo al pagamento della sanzione ex art. 167 D.L.vo n. 42/2004 (ex art. 164 D.L.vo 490/99 ex art. 15 L. 1497/39) a mezzo di apposito versamento su c.c.p. n. 11241189 intestato a Comune di Imperia - Servizio tesoreria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  <w:shd w:fill="FFFF00" w:val="clear"/>
        </w:rPr>
        <w:t>Versamento di € [monetizzazione_totale] relativo al pagamento della monetizzazione ex art. 24 delle N.T.A. per volumetrie da acquisire, a mezzo di apposito versamento su c.c.p. n. 11241189 intestato a Comune di Imperia - Servizio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  <w:shd w:fill="23FF23" w:val="clear"/>
        </w:rPr>
        <w:t>Versamento di € [monetizzazione_totale] relativo al pagamento della monetizzazione standard urbanistici ex D.M. 1444 del 2.4.1968 a mezzo di apposito versamento su c.c.p. n. 11241189 intestato a Comune di Imperia - Servizio tesoreria, ovvero bonifico bancario presso Banca Ca.Ri.Ge Spa - Filiale di Imperia Oneglia - Via Berio, 2 - IT41F 06175 10500 00000 1403790 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. relativo alla monetizzazione delle aree a parcheggio (per incremento carico insediativo) a mezzo di apposito versamento su c.c.p. n. 11241189 intestato a Comune di Imperia - Servizio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    a mezzo di apposito versamento su c.c.p. n. 11241189 intestato a Comune di Imperia - Servizio di Tesoreria ovvero bonifico bancario presso Banca Ca.Ri.Ge Spa - Filiale di Imperia Oneglia - Via Berio, 2 - IT41F 06175 10500 00000 1403790, con indicazione nella causale: (Diritti di Segreteria)</w:t>
      </w:r>
    </w:p>
    <w:p>
      <w:pPr>
        <w:pStyle w:val="Corpodeltesto"/>
        <w:widowControl/>
        <w:jc w:val="both"/>
        <w:rPr>
          <w:rFonts w:cs="Times New Roman"/>
          <w:b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[allegati_mancanti.documento;block=tbs:p]]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color w:val="000000"/>
          <w:sz w:val="22"/>
          <w:szCs w:val="22"/>
        </w:rPr>
        <w:t>N. 1 Marche da bollo ( € 16,00) da produrre al momento del ritiro del provvedimento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color w:val="000000"/>
          <w:sz w:val="22"/>
          <w:szCs w:val="22"/>
        </w:rPr>
        <w:t>N. 2 Marche da bollo ( € 16,00) da produrre al momento del ritiro del provvedimento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/>
        <w:spacing w:before="0" w:after="0"/>
        <w:jc w:val="both"/>
        <w:rPr/>
      </w:pPr>
      <w:r>
        <w:rPr>
          <w:rStyle w:val="Enfasi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Si precisa altresì che, per la zona in cui è previsto l'intervento, il vigente P.R.G. prevede l'imposizione di un vincolo procedimentale in forza dei quale l'edificazione è subordinata alla stipula di una convenzione urbanistica.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Enfasi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Pertanto si comunica che dalla data della presente nota la pratica sarà anche oggetto di specifica istruttoria da parte del Servizio Pianificazione e Convenzioni Urbanistiche.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Enfasi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Responsabile dell'istruttoria è il Geom. Luigi Barla a cui è possibile rivolgersi nei giorni di ricevimento (Lunedì e giovedì dalle ore 9,00 alle 13,00), per perfezionare il procedimento della convenzione urbanistica in conformità dell'art. 4 delle Norme Tecniche di Attuazione del P.R.G.</w:t>
      </w:r>
    </w:p>
    <w:p>
      <w:pPr>
        <w:pStyle w:val="Normal"/>
        <w:widowControl/>
        <w:ind w:left="0" w:right="0" w:hanging="0"/>
        <w:rPr/>
      </w:pPr>
      <w:r>
        <w:rPr>
          <w:rStyle w:val="Enfasiforte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"/>
        <w:widowControl/>
        <w:rPr/>
      </w:pPr>
      <w:r>
        <w:rPr>
          <w:rFonts w:cs="Times New Roman"/>
          <w:color w:val="000000"/>
          <w:sz w:val="22"/>
          <w:szCs w:val="22"/>
        </w:rPr>
        <w:t>[data]</w:t>
      </w:r>
    </w:p>
    <w:p>
      <w:pPr>
        <w:pStyle w:val="Corpodeltesto"/>
        <w:widowControl/>
        <w:jc w:val="right"/>
        <w:rPr/>
      </w:pPr>
      <w:r>
        <w:rPr>
          <w:rFonts w:cs="Times New Roman"/>
          <w:color w:val="000000"/>
          <w:sz w:val="22"/>
          <w:szCs w:val="22"/>
        </w:rPr>
        <w:t>Il Tecnico Incaricato</w:t>
        <w:br/>
        <w:t>__________________________________</w:t>
      </w:r>
    </w:p>
    <w:p>
      <w:pPr>
        <w:pStyle w:val="Normal"/>
        <w:widowControl/>
        <w:suppressAutoHyphens w:val="false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  <w:r>
        <w:br w:type="page"/>
      </w:r>
    </w:p>
    <w:p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rPr/>
      </w:pPr>
      <w:r>
        <w:rPr>
          <w:rFonts w:cs="Times New Roman"/>
          <w:color w:val="000000"/>
          <w:sz w:val="22"/>
          <w:szCs w:val="22"/>
        </w:rPr>
        <w:t>Si determina la seguente quantificazione del Contributo di Concessione</w:t>
      </w:r>
    </w:p>
    <w:tbl>
      <w:tblPr>
        <w:tblW w:w="9646" w:type="dxa"/>
        <w:jc w:val="left"/>
        <w:tblInd w:w="94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113" w:type="dxa"/>
          <w:left w:w="89" w:type="dxa"/>
          <w:bottom w:w="113" w:type="dxa"/>
          <w:right w:w="113" w:type="dxa"/>
        </w:tblCellMar>
        <w:tblLook w:firstRow="1" w:noVBand="1" w:lastRow="0" w:firstColumn="1" w:lastColumn="0" w:noHBand="0" w:val="04a0"/>
      </w:tblPr>
      <w:tblGrid>
        <w:gridCol w:w="9646"/>
      </w:tblGrid>
      <w:tr>
        <w:trPr>
          <w:cantSplit w:val="true"/>
        </w:trPr>
        <w:tc>
          <w:tcPr>
            <w:tcW w:w="96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color="auto" w:fill="FFFFFF" w:val="clear"/>
            <w:tcMar>
              <w:left w:w="89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22"/>
                <w:szCs w:val="22"/>
              </w:rPr>
              <w:t>Classe di funzione: [dettaglio_oneri.funzione;block=tbs:row]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Superficie utile mq [dettaglio_oneri.sup]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Tariffa di riferimento = Euro [dettaglio_oneri.tariffa] al mq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Costo di costruzione = Euro [dettaglio_oneri.cc_mq]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B1 = Euro [dettaglio_oneri.b1_mq]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B2 = Euro [dettaglio_oneri.b2_mq]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[dettaglio_oneri.c1]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[dettaglio_oneri.c2]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[dettaglio_oneri.c3]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[dettaglio_oneri.c4]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[dettaglio_oneri.d1]</w:t>
            </w:r>
          </w:p>
          <w:p>
            <w:pPr>
              <w:pStyle w:val="Contenutotabella"/>
              <w:rPr/>
            </w:pPr>
            <w:r>
              <w:rPr>
                <w:rFonts w:cs="Times New Roman"/>
                <w:sz w:val="22"/>
                <w:szCs w:val="22"/>
              </w:rPr>
              <w:t>[dettaglio_oneri.d2]</w:t>
            </w:r>
          </w:p>
          <w:p>
            <w:pPr>
              <w:pStyle w:val="Contenutotabella"/>
              <w:rPr/>
            </w:pPr>
            <w:r>
              <w:rPr>
                <w:sz w:val="22"/>
                <w:szCs w:val="22"/>
              </w:rPr>
              <w:t>Quota per [dettaglio_oneri.intervento]</w:t>
            </w:r>
          </w:p>
          <w:p>
            <w:pPr>
              <w:pStyle w:val="Contenutotabella"/>
              <w:rPr/>
            </w:pPr>
            <w:r>
              <w:rPr>
                <w:sz w:val="22"/>
                <w:szCs w:val="22"/>
              </w:rPr>
              <w:t>Totale costo di costruzione = Euro [dettaglio_oneri.cc]</w:t>
            </w:r>
          </w:p>
          <w:p>
            <w:pPr>
              <w:pStyle w:val="Contenutotabella"/>
              <w:rPr/>
            </w:pPr>
            <w:r>
              <w:rPr>
                <w:sz w:val="22"/>
                <w:szCs w:val="22"/>
              </w:rPr>
              <w:t>Totale B1 = Euro [dettaglio_oneri.b1]</w:t>
            </w:r>
          </w:p>
          <w:p>
            <w:pPr>
              <w:pStyle w:val="Contenutotabella"/>
              <w:rPr/>
            </w:pPr>
            <w:r>
              <w:rPr>
                <w:sz w:val="22"/>
                <w:szCs w:val="22"/>
              </w:rPr>
              <w:t>Totale B2 = Euro [dettaglio_oneri.b2]</w:t>
            </w:r>
          </w:p>
          <w:p>
            <w:pPr>
              <w:pStyle w:val="Contenutotabella"/>
              <w:rPr/>
            </w:pPr>
            <w:r>
              <w:rPr>
                <w:sz w:val="22"/>
                <w:szCs w:val="22"/>
              </w:rPr>
              <w:t>Oneri al metro = Euro [dettaglio_oneri.tot_unitario]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sz w:val="22"/>
                <w:szCs w:val="22"/>
              </w:rPr>
              <w:t>Gli importi sono così ripartiti:</w:t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sz w:val="22"/>
                <w:szCs w:val="22"/>
              </w:rPr>
              <w:t>Costo di Costruzione                                                                Euro [dettaglio_oneri.cc]</w:t>
              <w:br/>
              <w:t>Oneri di Urbanizzazione primaria                                            Euro [dettaglio_oneri.b1]</w:t>
              <w:br/>
              <w:t>Urbanizzazione secondaria                                                       Euro [dettaglio_oneri.b2]</w:t>
              <w:br/>
              <w:t>Oneri di Urbanizzazione Secondaria L.R. 4/85 art. 5 (7%)      Euro [dettaglio_oneri.b2_7p]</w:t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[dettaglio_oneri.tot]</w:t>
            </w:r>
          </w:p>
        </w:tc>
      </w:tr>
    </w:tbl>
    <w:p>
      <w:pPr>
        <w:pStyle w:val="Corpodeltesto"/>
        <w:widowControl/>
        <w:rPr>
          <w:rFonts w:ascii="Verdana;Geneva" w:hAnsi="Verdana;Geneva" w:cs="Verdana;Geneva"/>
          <w:color w:val="000000"/>
          <w:sz w:val="22"/>
          <w:szCs w:val="22"/>
          <w:shd w:fill="FFFF00" w:val="clear"/>
        </w:rPr>
      </w:pPr>
      <w:r>
        <w:rPr>
          <w:rFonts w:cs="Verdana;Geneva" w:ascii="Verdana;Geneva" w:hAnsi="Verdana;Geneva"/>
          <w:color w:val="000000"/>
          <w:sz w:val="22"/>
          <w:szCs w:val="22"/>
          <w:shd w:fill="FFFF00" w:val="clear"/>
        </w:rPr>
      </w:r>
    </w:p>
    <w:p>
      <w:pPr>
        <w:pStyle w:val="Normal"/>
        <w:rPr/>
      </w:pPr>
      <w:r>
        <w:rPr/>
        <w:t>Riepilogo della quantificazione del Contributo di Costruzione</w:t>
      </w:r>
    </w:p>
    <w:p>
      <w:pPr>
        <w:pStyle w:val="Normal"/>
        <w:rPr/>
      </w:pPr>
      <w:r>
        <w:rPr/>
      </w:r>
    </w:p>
    <w:tbl>
      <w:tblPr>
        <w:tblStyle w:val="Grigliatabella"/>
        <w:tblW w:w="9778" w:type="dxa"/>
        <w:jc w:val="left"/>
        <w:tblInd w:w="-5" w:type="dxa"/>
        <w:tblBorders>
          <w:top w:val="double" w:sz="2" w:space="0" w:color="00000A"/>
          <w:left w:val="double" w:sz="2" w:space="0" w:color="00000A"/>
        </w:tblBorders>
        <w:tblCellMar>
          <w:top w:w="113" w:type="dxa"/>
          <w:left w:w="91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9778"/>
      </w:tblGrid>
      <w:tr>
        <w:trPr/>
        <w:tc>
          <w:tcPr>
            <w:tcW w:w="9778" w:type="dxa"/>
            <w:tcBorders>
              <w:top w:val="double" w:sz="2" w:space="0" w:color="00000A"/>
              <w:left w:val="double" w:sz="2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Contenutotabella"/>
              <w:spacing w:before="0" w:after="283"/>
              <w:rPr/>
            </w:pPr>
            <w:r>
              <w:rPr>
                <w:b/>
                <w:sz w:val="22"/>
                <w:szCs w:val="22"/>
              </w:rPr>
              <w:t>Gli importi sono così ripartiti:</w:t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sz w:val="22"/>
                <w:szCs w:val="22"/>
              </w:rPr>
              <w:t>Costo di Costruzione                                                                Euro [oneri_cc]</w:t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sz w:val="22"/>
                <w:szCs w:val="22"/>
              </w:rPr>
              <w:t>Oneri di Urbanizzazione primaria                                            Euro [oneri_urb_1]</w:t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sz w:val="22"/>
                <w:szCs w:val="22"/>
              </w:rPr>
              <w:t>Urbanizzazione secondaria                                                       Euro [oneri_urb_2]</w:t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sz w:val="22"/>
                <w:szCs w:val="22"/>
              </w:rPr>
              <w:t>Oneri di Urbanizzazione Secondaria L.R. 4/85 art. 5 (7%)      Euro [oneri_b2_7p]</w:t>
            </w:r>
          </w:p>
          <w:p>
            <w:pPr>
              <w:pStyle w:val="Normal"/>
              <w:rPr/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[oneri_totale]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"/>
      <w:lvlJc w:val="left"/>
      <w:pPr>
        <w:ind w:left="707" w:hanging="0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it-IT" w:eastAsia="zh-CN" w:bidi="hi-IN"/>
    </w:rPr>
  </w:style>
  <w:style w:type="character" w:styleId="ListLabel12">
    <w:name w:val="ListLabel 1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3">
    <w:name w:val="ListLabel 1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4">
    <w:name w:val="ListLabel 1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5">
    <w:name w:val="ListLabel 1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6">
    <w:name w:val="ListLabel 1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7">
    <w:name w:val="ListLabel 1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8">
    <w:name w:val="ListLabel 1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9">
    <w:name w:val="ListLabel 1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0">
    <w:name w:val="ListLabel 2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Enfasiforte">
    <w:name w:val="Enfasi forte"/>
    <w:qFormat/>
    <w:rPr>
      <w:b/>
      <w:bCs/>
    </w:rPr>
  </w:style>
  <w:style w:type="character" w:styleId="ListLabel21">
    <w:name w:val="ListLabel 2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2">
    <w:name w:val="ListLabel 2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3">
    <w:name w:val="ListLabel 2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4">
    <w:name w:val="ListLabel 2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5">
    <w:name w:val="ListLabel 2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6">
    <w:name w:val="ListLabel 2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7">
    <w:name w:val="ListLabel 2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8">
    <w:name w:val="ListLabel 2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9">
    <w:name w:val="ListLabel 2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LibreOffice/5.2.4.2$Windows_x86 LibreOffice_project/3d5603e1122f0f102b62521720ab13a38a4e0eb0</Application>
  <Pages>3</Pages>
  <Words>904</Words>
  <Characters>5583</Characters>
  <CharactersWithSpaces>6922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2017-01-30T15:53:42Z</dcterms:created>
  <dc:creator/>
  <dc:description/>
  <dc:language>it-IT</dc:language>
  <cp:lastModifiedBy/>
  <dcterms:modified xsi:type="dcterms:W3CDTF">2017-03-03T11:22:32Z</dcterms:modified>
  <cp:revision>3</cp:revision>
  <dc:subject/>
  <dc:title/>
</cp:coreProperties>
</file>