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00" w:type="dxa"/>
        <w:tblInd w:w="1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4500"/>
      </w:tblGrid>
      <w:tr w:rsidR="001127B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27BE" w:rsidRDefault="001127BE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1127BE" w:rsidRDefault="00CE1DCA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65pt;height:39.65pt" fillcolor="window">
                  <v:imagedata r:id="rId8" o:title=""/>
                </v:shape>
              </w:pict>
            </w:r>
          </w:p>
          <w:p w:rsidR="001127BE" w:rsidRDefault="001127BE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1127BE" w:rsidRDefault="001127BE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1127BE" w:rsidRDefault="001127BE">
            <w:pPr>
              <w:tabs>
                <w:tab w:val="left" w:pos="900"/>
              </w:tabs>
              <w:spacing w:line="40" w:lineRule="exact"/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27BE" w:rsidRDefault="001127BE">
            <w:pPr>
              <w:pStyle w:val="Titolo3"/>
              <w:spacing w:line="200" w:lineRule="exac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:rsidR="001127BE" w:rsidRDefault="001127BE">
            <w:pPr>
              <w:pStyle w:val="Titolo3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CITTÁ DI ALGHERO</w:t>
            </w:r>
          </w:p>
          <w:p w:rsidR="001127BE" w:rsidRDefault="001127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Provincia Di Sassari</w:t>
            </w:r>
          </w:p>
          <w:p w:rsidR="001127BE" w:rsidRDefault="001127BE">
            <w:pPr>
              <w:pStyle w:val="Titolo1"/>
              <w:rPr>
                <w:sz w:val="20"/>
              </w:rPr>
            </w:pPr>
            <w:r>
              <w:rPr>
                <w:sz w:val="20"/>
              </w:rPr>
              <w:t>V Settore – Servizio edilizia privata</w:t>
            </w:r>
          </w:p>
          <w:p w:rsidR="001127BE" w:rsidRDefault="001127BE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>Ufficio Determinazione oneri</w:t>
            </w:r>
          </w:p>
          <w:p w:rsidR="001127BE" w:rsidRDefault="001127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1127BE" w:rsidRDefault="001127BE">
            <w:pPr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1127BE" w:rsidRDefault="001127BE">
      <w:pPr>
        <w:pStyle w:val="Titolo8"/>
        <w:widowControl/>
        <w:autoSpaceDE/>
        <w:autoSpaceDN/>
        <w:rPr>
          <w:b w:val="0"/>
          <w:bCs w:val="0"/>
          <w:sz w:val="20"/>
          <w:szCs w:val="20"/>
        </w:rPr>
      </w:pPr>
    </w:p>
    <w:p w:rsidR="001127BE" w:rsidRDefault="001127BE">
      <w:pPr>
        <w:pStyle w:val="Titolo8"/>
        <w:widowControl/>
        <w:autoSpaceDE/>
        <w:autoSpaceDN/>
      </w:pPr>
      <w:r>
        <w:t>DETERMINAZIONE ONERI CONCESSORI</w:t>
      </w:r>
    </w:p>
    <w:p w:rsidR="001127BE" w:rsidRDefault="001127BE">
      <w:pPr>
        <w:pStyle w:val="Titolo8"/>
      </w:pPr>
      <w:r>
        <w:t>Ai sensi della L. 10/1977</w:t>
      </w:r>
    </w:p>
    <w:p w:rsidR="001115EE" w:rsidRPr="001115EE" w:rsidRDefault="001115EE" w:rsidP="001115EE"/>
    <w:p w:rsidR="001127BE" w:rsidRDefault="001127BE">
      <w:pPr>
        <w:rPr>
          <w:color w:val="999999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115EE" w:rsidTr="00BA05F3">
        <w:tc>
          <w:tcPr>
            <w:tcW w:w="2500" w:type="pct"/>
          </w:tcPr>
          <w:p w:rsidR="001115EE" w:rsidRDefault="001115EE">
            <w:pPr>
              <w:pStyle w:val="Testonotadichiusura"/>
            </w:pPr>
            <w:r>
              <w:t>Pratica edilizia n° ${pratica.numero}</w:t>
            </w:r>
          </w:p>
        </w:tc>
        <w:tc>
          <w:tcPr>
            <w:tcW w:w="2500" w:type="pct"/>
          </w:tcPr>
          <w:p w:rsidR="001115EE" w:rsidRDefault="001115EE" w:rsidP="00BA05F3">
            <w:pPr>
              <w:pStyle w:val="Testonotadichiusura"/>
              <w:jc w:val="right"/>
            </w:pPr>
            <w:r>
              <w:t xml:space="preserve">Alghero lì </w:t>
            </w:r>
            <w:r w:rsidR="000B0218">
              <w:t>${data}</w:t>
            </w:r>
          </w:p>
        </w:tc>
      </w:tr>
      <w:tr w:rsidR="001115EE" w:rsidTr="00BA05F3">
        <w:tc>
          <w:tcPr>
            <w:tcW w:w="2500" w:type="pct"/>
          </w:tcPr>
          <w:p w:rsidR="001115EE" w:rsidRDefault="001115EE">
            <w:pPr>
              <w:pStyle w:val="Testonotadichiusura"/>
            </w:pPr>
            <w:r>
              <w:t>Protocollo n° ${pratica.prot}</w:t>
            </w:r>
          </w:p>
        </w:tc>
        <w:tc>
          <w:tcPr>
            <w:tcW w:w="2500" w:type="pct"/>
          </w:tcPr>
          <w:p w:rsidR="001115EE" w:rsidRDefault="001115EE" w:rsidP="00BA05F3">
            <w:pPr>
              <w:pStyle w:val="Testonotadichiusura"/>
              <w:jc w:val="right"/>
            </w:pPr>
            <w:r>
              <w:t>Alla Ditta</w:t>
            </w:r>
            <w:r>
              <w:br/>
              <w:t>${pratica.et_rich}</w:t>
            </w:r>
          </w:p>
        </w:tc>
      </w:tr>
    </w:tbl>
    <w:p w:rsidR="001115EE" w:rsidRDefault="001115EE">
      <w:pPr>
        <w:pStyle w:val="Testonotadichiusura"/>
      </w:pPr>
    </w:p>
    <w:p w:rsidR="001127BE" w:rsidRDefault="001127BE">
      <w:pPr>
        <w:rPr>
          <w:lang w:val="fr-FR"/>
        </w:rPr>
      </w:pPr>
    </w:p>
    <w:p w:rsidR="001127BE" w:rsidRDefault="001127BE">
      <w:pPr>
        <w:pStyle w:val="Titolo5"/>
        <w:ind w:firstLine="0"/>
      </w:pPr>
      <w:r>
        <w:t xml:space="preserve">Oggetto:somme dovute per opere di urbanizzazione e costo di costruzione, per: </w:t>
      </w:r>
      <w:r w:rsidR="001115EE">
        <w:rPr>
          <w:u w:val="single"/>
        </w:rPr>
        <w:t>${pratica.oggetto}</w:t>
      </w:r>
    </w:p>
    <w:p w:rsidR="001127BE" w:rsidRDefault="001127BE">
      <w:pPr>
        <w:rPr>
          <w:sz w:val="22"/>
          <w:szCs w:val="22"/>
        </w:rPr>
      </w:pPr>
    </w:p>
    <w:p w:rsidR="001127BE" w:rsidRDefault="001127BE" w:rsidP="00F65E0E">
      <w:pPr>
        <w:tabs>
          <w:tab w:val="left" w:pos="284"/>
        </w:tabs>
        <w:jc w:val="both"/>
      </w:pPr>
      <w:r>
        <w:t xml:space="preserve">In conformità a quanto disposto dalla L.10/77 sulla edificabilità dei suoli ed in riferimento alla domanda suddetta, si comunica che il contributo di cui all'art. 3 della legge succitata, da versare alla Tesoreria Comunale tramite c.c.p. </w:t>
      </w:r>
      <w:r w:rsidR="00F65E0E">
        <w:t>1003827845 o bonific</w:t>
      </w:r>
      <w:r w:rsidR="00CE1DCA">
        <w:t>o</w:t>
      </w:r>
      <w:r w:rsidR="00F65E0E">
        <w:t xml:space="preserve"> bancari</w:t>
      </w:r>
      <w:r w:rsidR="00CE1DCA">
        <w:t>o</w:t>
      </w:r>
      <w:bookmarkStart w:id="0" w:name="_GoBack"/>
      <w:bookmarkEnd w:id="0"/>
      <w:r w:rsidR="00F65E0E">
        <w:t xml:space="preserve"> Iban:IT31F 07601 17200 001003827845, </w:t>
      </w:r>
      <w:r>
        <w:t xml:space="preserve"> ammonta a €. </w:t>
      </w:r>
      <w:r w:rsidR="001115EE">
        <w:rPr>
          <w:b/>
          <w:bCs/>
        </w:rPr>
        <w:t>${info_oneri.totale}</w:t>
      </w:r>
      <w:r>
        <w:t xml:space="preserve"> ed è stato determinato come segue:</w:t>
      </w:r>
    </w:p>
    <w:p w:rsidR="001127BE" w:rsidRDefault="001127BE">
      <w:pPr>
        <w:pStyle w:val="Rientrocorpodeltesto"/>
      </w:pPr>
    </w:p>
    <w:p w:rsidR="001127BE" w:rsidRDefault="001127BE">
      <w:pPr>
        <w:spacing w:line="360" w:lineRule="auto"/>
      </w:pPr>
      <w:r>
        <w:t>-</w:t>
      </w:r>
      <w:r>
        <w:tab/>
        <w:t>per</w:t>
      </w:r>
      <w:r w:rsidR="001115EE">
        <w:t xml:space="preserve"> Oneri di urbanizzazione</w:t>
      </w:r>
      <w:r w:rsidR="001115EE">
        <w:tab/>
      </w:r>
      <w:r w:rsidR="001115EE">
        <w:tab/>
        <w:t>Euro</w:t>
      </w:r>
      <w:r w:rsidR="001115EE">
        <w:tab/>
        <w:t>${info_oneri.urbanizzazione}</w:t>
      </w:r>
      <w:r>
        <w:tab/>
      </w:r>
      <w:r>
        <w:tab/>
      </w:r>
    </w:p>
    <w:p w:rsidR="001127BE" w:rsidRDefault="001127BE">
      <w:pPr>
        <w:pStyle w:val="Testonotadichiusura"/>
        <w:widowControl/>
        <w:autoSpaceDE/>
        <w:autoSpaceDN/>
        <w:spacing w:line="360" w:lineRule="auto"/>
      </w:pPr>
      <w:r>
        <w:t>-</w:t>
      </w:r>
      <w:r>
        <w:tab/>
        <w:t>per Oneri di Costruzione</w:t>
      </w:r>
      <w:r>
        <w:tab/>
      </w:r>
      <w:r>
        <w:tab/>
      </w:r>
      <w:r>
        <w:tab/>
        <w:t>Euro</w:t>
      </w:r>
      <w:r>
        <w:tab/>
      </w:r>
      <w:r w:rsidR="001115EE">
        <w:t>${info_oneri.costo_costruzione}</w:t>
      </w:r>
      <w:r>
        <w:tab/>
      </w:r>
      <w:r>
        <w:tab/>
      </w:r>
    </w:p>
    <w:p w:rsidR="001127BE" w:rsidRDefault="001127BE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>TOTALE COMPLESSIVO</w:t>
      </w:r>
      <w:r>
        <w:rPr>
          <w:b/>
          <w:bCs/>
        </w:rPr>
        <w:tab/>
      </w:r>
      <w:r>
        <w:rPr>
          <w:b/>
          <w:bCs/>
        </w:rPr>
        <w:tab/>
        <w:t>Euro</w:t>
      </w:r>
      <w:r>
        <w:rPr>
          <w:b/>
          <w:bCs/>
        </w:rPr>
        <w:tab/>
      </w:r>
      <w:r w:rsidR="001115EE">
        <w:t>${info_oneri.totale}</w:t>
      </w:r>
      <w:r>
        <w:rPr>
          <w:b/>
          <w:bCs/>
        </w:rPr>
        <w:tab/>
      </w:r>
      <w:r>
        <w:rPr>
          <w:b/>
          <w:bCs/>
        </w:rPr>
        <w:tab/>
      </w:r>
    </w:p>
    <w:p w:rsidR="001127BE" w:rsidRDefault="001127BE">
      <w:pPr>
        <w:jc w:val="both"/>
      </w:pPr>
      <w:r>
        <w:t>Si precisa che le modalità di pagamento sono le seguenti:</w:t>
      </w:r>
    </w:p>
    <w:p w:rsidR="001127BE" w:rsidRDefault="001127BE">
      <w:pPr>
        <w:jc w:val="both"/>
      </w:pPr>
    </w:p>
    <w:p w:rsidR="001127BE" w:rsidRDefault="001127BE">
      <w:pPr>
        <w:numPr>
          <w:ilvl w:val="0"/>
          <w:numId w:val="1"/>
        </w:numPr>
        <w:tabs>
          <w:tab w:val="left" w:pos="284"/>
          <w:tab w:val="num" w:pos="360"/>
        </w:tabs>
        <w:jc w:val="both"/>
      </w:pPr>
      <w:r>
        <w:t xml:space="preserve">Il totale della prima rata è pari a Euro </w:t>
      </w:r>
      <w:r w:rsidR="001115EE">
        <w:t>${info_oneri.rata_1_dovuto}</w:t>
      </w:r>
      <w:r>
        <w:t xml:space="preserve"> (50% oneri di urbanizzazione + 30% costo di costruzione) da corrispondere al rilascio della concessione.</w:t>
      </w:r>
    </w:p>
    <w:p w:rsidR="001127BE" w:rsidRDefault="001127BE">
      <w:pPr>
        <w:tabs>
          <w:tab w:val="num" w:pos="0"/>
          <w:tab w:val="left" w:pos="284"/>
        </w:tabs>
        <w:jc w:val="both"/>
      </w:pPr>
    </w:p>
    <w:p w:rsidR="001127BE" w:rsidRDefault="001127BE">
      <w:pPr>
        <w:numPr>
          <w:ilvl w:val="0"/>
          <w:numId w:val="1"/>
        </w:numPr>
        <w:tabs>
          <w:tab w:val="left" w:pos="284"/>
          <w:tab w:val="num" w:pos="360"/>
        </w:tabs>
        <w:jc w:val="both"/>
      </w:pPr>
      <w:r>
        <w:t xml:space="preserve">Per la rimanente somma di Euro </w:t>
      </w:r>
      <w:r w:rsidR="006F325D">
        <w:rPr>
          <w:b/>
          <w:bCs/>
        </w:rPr>
        <w:t>${pratica.fidejussione}</w:t>
      </w:r>
      <w:r>
        <w:t xml:space="preserve"> dovrà essere prestata garanzia fidejussoria che dovrà avere legale validità sino alla restituzione o allo svincolo dell'atto stesso da parte dell' Amministrazione comunale per le seguenti scadenze da rispettarsi ai sensi e per gli effetti dell' art.19 della L.R. 23/85</w:t>
      </w:r>
      <w:r>
        <w:rPr>
          <w:rStyle w:val="Rimandonotaapidipagina"/>
        </w:rPr>
        <w:footnoteReference w:id="1"/>
      </w:r>
      <w:r>
        <w:t>; detta prestazione fidejussoria bancaria o assicurativa dovrà essere di importo pari al contributo rateizzato, come stabilito con Delibera di Giunta Municipale n°422 del 27.09.1999.</w:t>
      </w:r>
    </w:p>
    <w:p w:rsidR="001127BE" w:rsidRDefault="001127BE">
      <w:pPr>
        <w:tabs>
          <w:tab w:val="num" w:pos="0"/>
          <w:tab w:val="left" w:pos="284"/>
        </w:tabs>
        <w:jc w:val="both"/>
      </w:pPr>
    </w:p>
    <w:p w:rsidR="001127BE" w:rsidRDefault="001127BE">
      <w:pPr>
        <w:numPr>
          <w:ilvl w:val="0"/>
          <w:numId w:val="1"/>
        </w:numPr>
        <w:tabs>
          <w:tab w:val="left" w:pos="284"/>
          <w:tab w:val="num" w:pos="360"/>
        </w:tabs>
        <w:jc w:val="both"/>
      </w:pPr>
      <w:r>
        <w:t xml:space="preserve">Il totale della seconda rata è pari a Euro </w:t>
      </w:r>
      <w:r w:rsidR="001115EE">
        <w:t>${info_oneri.rata_2_dovuto}</w:t>
      </w:r>
      <w:r>
        <w:t>(25% oneri di urbanizzazione + 30% costo costruzione), entro un anno dalla data del rilascio della concessione edilizia.</w:t>
      </w:r>
    </w:p>
    <w:p w:rsidR="001127BE" w:rsidRDefault="001127BE">
      <w:pPr>
        <w:tabs>
          <w:tab w:val="num" w:pos="0"/>
          <w:tab w:val="left" w:pos="284"/>
        </w:tabs>
        <w:jc w:val="both"/>
      </w:pPr>
    </w:p>
    <w:p w:rsidR="0036273F" w:rsidRDefault="001127BE">
      <w:pPr>
        <w:pStyle w:val="Rientrocorpodeltesto2"/>
        <w:numPr>
          <w:ilvl w:val="0"/>
          <w:numId w:val="1"/>
        </w:numPr>
        <w:tabs>
          <w:tab w:val="left" w:pos="284"/>
          <w:tab w:val="num" w:pos="360"/>
        </w:tabs>
        <w:jc w:val="both"/>
      </w:pPr>
      <w:r>
        <w:t xml:space="preserve">Il totale della terza rata è pari a Euro </w:t>
      </w:r>
      <w:r w:rsidR="001115EE">
        <w:t>${info_oneri.rata_3_dovuto}</w:t>
      </w:r>
      <w:r>
        <w:t>(25% oneri di urbanizzazione + 40% costo costruzione), entro la fine dei lavori.</w:t>
      </w:r>
    </w:p>
    <w:p w:rsidR="0036273F" w:rsidRDefault="0036273F" w:rsidP="0036273F">
      <w:pPr>
        <w:pStyle w:val="Rientrocorpodeltesto2"/>
        <w:tabs>
          <w:tab w:val="left" w:pos="284"/>
        </w:tabs>
        <w:ind w:left="0"/>
        <w:jc w:val="both"/>
      </w:pPr>
    </w:p>
    <w:p w:rsidR="001127BE" w:rsidRDefault="0036273F">
      <w:pPr>
        <w:pStyle w:val="Rientrocorpodeltesto2"/>
        <w:numPr>
          <w:ilvl w:val="0"/>
          <w:numId w:val="1"/>
        </w:numPr>
        <w:tabs>
          <w:tab w:val="left" w:pos="284"/>
          <w:tab w:val="num" w:pos="360"/>
        </w:tabs>
        <w:jc w:val="both"/>
      </w:pPr>
      <w:r>
        <w:t>Eventuali proroghe richieste non incideranno sulle scadenze previste dalla concessione edilizia originaria;</w:t>
      </w:r>
    </w:p>
    <w:p w:rsidR="001127BE" w:rsidRDefault="001127BE">
      <w:pPr>
        <w:tabs>
          <w:tab w:val="num" w:pos="0"/>
          <w:tab w:val="left" w:pos="284"/>
        </w:tabs>
        <w:jc w:val="both"/>
      </w:pPr>
    </w:p>
    <w:p w:rsidR="001127BE" w:rsidRDefault="001127BE">
      <w:pPr>
        <w:numPr>
          <w:ilvl w:val="0"/>
          <w:numId w:val="1"/>
        </w:numPr>
        <w:tabs>
          <w:tab w:val="left" w:pos="284"/>
          <w:tab w:val="num" w:pos="360"/>
        </w:tabs>
        <w:jc w:val="both"/>
      </w:pPr>
      <w:r>
        <w:t>La garanzia fidejussoria sarà totalmente svincolata ad avvenuto pagamento a saldo.</w:t>
      </w:r>
    </w:p>
    <w:p w:rsidR="001127BE" w:rsidRDefault="001127BE">
      <w:pPr>
        <w:tabs>
          <w:tab w:val="num" w:pos="0"/>
          <w:tab w:val="left" w:pos="284"/>
        </w:tabs>
        <w:jc w:val="both"/>
      </w:pPr>
    </w:p>
    <w:p w:rsidR="001127BE" w:rsidRDefault="001127BE">
      <w:pPr>
        <w:numPr>
          <w:ilvl w:val="0"/>
          <w:numId w:val="1"/>
        </w:numPr>
        <w:tabs>
          <w:tab w:val="left" w:pos="284"/>
          <w:tab w:val="num" w:pos="360"/>
        </w:tabs>
        <w:jc w:val="both"/>
      </w:pPr>
      <w:r>
        <w:t>I versamenti suddetti saranno considerati provvisori, riservandosi il Comune la facoltà di eseguire l'accertamento dei costi a lavori ultimati, e riliquidare il Contributo in caso di risultati diversi dalle somme dichiarate.</w:t>
      </w:r>
    </w:p>
    <w:p w:rsidR="001127BE" w:rsidRDefault="001127BE">
      <w:pPr>
        <w:tabs>
          <w:tab w:val="num" w:pos="0"/>
          <w:tab w:val="left" w:pos="284"/>
        </w:tabs>
        <w:jc w:val="both"/>
      </w:pPr>
    </w:p>
    <w:p w:rsidR="001127BE" w:rsidRDefault="001127BE">
      <w:pPr>
        <w:numPr>
          <w:ilvl w:val="0"/>
          <w:numId w:val="1"/>
        </w:numPr>
        <w:tabs>
          <w:tab w:val="left" w:pos="284"/>
          <w:tab w:val="num" w:pos="360"/>
        </w:tabs>
        <w:jc w:val="both"/>
        <w:rPr>
          <w:sz w:val="22"/>
          <w:szCs w:val="22"/>
        </w:rPr>
      </w:pPr>
      <w:r>
        <w:t>L'avvenuto pagamento delle somme suddette dovrà essere comunicato tempestivamente all'ufficio Tecnico Comunale mediante consegna dell'attestazione dei versamenti in c.c.p..</w:t>
      </w:r>
    </w:p>
    <w:p w:rsidR="001127BE" w:rsidRDefault="001127BE">
      <w:pPr>
        <w:ind w:left="6372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F22E0" w:rsidRPr="00BA05F3" w:rsidTr="00BA05F3">
        <w:tc>
          <w:tcPr>
            <w:tcW w:w="4889" w:type="dxa"/>
          </w:tcPr>
          <w:p w:rsidR="008F22E0" w:rsidRPr="00BA05F3" w:rsidRDefault="008F22E0" w:rsidP="008F22E0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8F22E0" w:rsidRPr="00BA05F3" w:rsidRDefault="00605D59" w:rsidP="00BA05F3">
            <w:pPr>
              <w:jc w:val="center"/>
              <w:rPr>
                <w:sz w:val="22"/>
                <w:szCs w:val="22"/>
              </w:rPr>
            </w:pPr>
            <w:r w:rsidRPr="00BA05F3">
              <w:rPr>
                <w:sz w:val="22"/>
                <w:szCs w:val="22"/>
              </w:rPr>
              <w:t>Il Tecnico Istruttore</w:t>
            </w:r>
            <w:r w:rsidRPr="00BA05F3">
              <w:rPr>
                <w:sz w:val="22"/>
                <w:szCs w:val="22"/>
              </w:rPr>
              <w:br/>
              <w:t>${pratica.it}</w:t>
            </w:r>
          </w:p>
        </w:tc>
      </w:tr>
    </w:tbl>
    <w:p w:rsidR="001127BE" w:rsidRDefault="001127BE" w:rsidP="008F22E0">
      <w:pPr>
        <w:rPr>
          <w:sz w:val="22"/>
          <w:szCs w:val="22"/>
        </w:rPr>
      </w:pPr>
    </w:p>
    <w:p w:rsidR="001127BE" w:rsidRDefault="001127BE">
      <w:pPr>
        <w:ind w:left="6372"/>
        <w:rPr>
          <w:sz w:val="22"/>
          <w:szCs w:val="22"/>
        </w:rPr>
      </w:pPr>
    </w:p>
    <w:p w:rsidR="001127BE" w:rsidRDefault="001127BE">
      <w:pPr>
        <w:ind w:left="6372"/>
        <w:rPr>
          <w:sz w:val="22"/>
          <w:szCs w:val="22"/>
        </w:rPr>
      </w:pPr>
    </w:p>
    <w:sectPr w:rsidR="001127BE" w:rsidSect="00B53D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76" w:right="1134" w:bottom="1134" w:left="1134" w:header="720" w:footer="45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5F3" w:rsidRDefault="00BA05F3">
      <w:r>
        <w:separator/>
      </w:r>
    </w:p>
  </w:endnote>
  <w:endnote w:type="continuationSeparator" w:id="0">
    <w:p w:rsidR="00BA05F3" w:rsidRDefault="00BA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BE" w:rsidRDefault="001127BE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BE" w:rsidRDefault="001127BE">
    <w:pPr>
      <w:rPr>
        <w:snapToGrid w:val="0"/>
        <w:sz w:val="18"/>
        <w:szCs w:val="18"/>
        <w:lang w:eastAsia="it-IT"/>
      </w:rPr>
    </w:pPr>
    <w:r>
      <w:rPr>
        <w:rStyle w:val="Rimandonotadichiusura"/>
        <w:sz w:val="18"/>
      </w:rPr>
      <w:footnoteRef/>
    </w:r>
    <w:r>
      <w:rPr>
        <w:sz w:val="18"/>
      </w:rPr>
      <w:t xml:space="preserve"> </w:t>
    </w:r>
    <w:r>
      <w:rPr>
        <w:snapToGrid w:val="0"/>
        <w:sz w:val="18"/>
        <w:szCs w:val="18"/>
      </w:rPr>
      <w:t>Il mancato versamento nei termini di cui sopra comporta :</w:t>
    </w:r>
  </w:p>
  <w:p w:rsidR="001127BE" w:rsidRDefault="001127BE">
    <w:pPr>
      <w:tabs>
        <w:tab w:val="left" w:pos="360"/>
      </w:tabs>
      <w:ind w:left="360" w:hanging="360"/>
      <w:rPr>
        <w:snapToGrid w:val="0"/>
        <w:sz w:val="18"/>
        <w:szCs w:val="18"/>
      </w:rPr>
    </w:pPr>
    <w:r>
      <w:rPr>
        <w:snapToGrid w:val="0"/>
        <w:sz w:val="18"/>
        <w:szCs w:val="18"/>
      </w:rPr>
      <w:t>a)</w:t>
    </w:r>
    <w:r>
      <w:rPr>
        <w:snapToGrid w:val="0"/>
        <w:sz w:val="18"/>
        <w:szCs w:val="18"/>
      </w:rPr>
      <w:tab/>
      <w:t>l'aumento del contributo in misura pari al 20%, qualora il versamento sia effettuato nei successivi 120 giorni;</w:t>
    </w:r>
  </w:p>
  <w:p w:rsidR="001127BE" w:rsidRDefault="001127BE">
    <w:pPr>
      <w:tabs>
        <w:tab w:val="left" w:pos="360"/>
      </w:tabs>
      <w:ind w:left="360" w:hanging="360"/>
      <w:rPr>
        <w:snapToGrid w:val="0"/>
        <w:sz w:val="18"/>
        <w:szCs w:val="18"/>
      </w:rPr>
    </w:pPr>
    <w:r>
      <w:rPr>
        <w:snapToGrid w:val="0"/>
        <w:sz w:val="18"/>
        <w:szCs w:val="18"/>
      </w:rPr>
      <w:t>b)</w:t>
    </w:r>
    <w:r>
      <w:rPr>
        <w:snapToGrid w:val="0"/>
        <w:sz w:val="18"/>
        <w:szCs w:val="18"/>
      </w:rPr>
      <w:tab/>
      <w:t>l'aumento del contributo in misura pari al 50%, qualora il versamento sia effettuato nei 60 giorni successivi al termine di cui alla lettera a);</w:t>
    </w:r>
  </w:p>
  <w:p w:rsidR="001127BE" w:rsidRDefault="001127BE">
    <w:pPr>
      <w:tabs>
        <w:tab w:val="left" w:pos="360"/>
      </w:tabs>
      <w:ind w:left="360" w:hanging="360"/>
    </w:pPr>
    <w:r>
      <w:rPr>
        <w:snapToGrid w:val="0"/>
        <w:sz w:val="18"/>
        <w:szCs w:val="18"/>
      </w:rPr>
      <w:t>c)</w:t>
    </w:r>
    <w:r>
      <w:rPr>
        <w:snapToGrid w:val="0"/>
        <w:sz w:val="18"/>
        <w:szCs w:val="18"/>
      </w:rPr>
      <w:tab/>
      <w:t>l'aumento del contributo in misura pari al 100%, qualora il versamento sia effettuato nei 60 giorni successivi al termine di cui alla lettera b);</w:t>
    </w:r>
  </w:p>
  <w:p w:rsidR="001127BE" w:rsidRDefault="001127BE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BE" w:rsidRDefault="001127B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5F3" w:rsidRDefault="00BA05F3">
      <w:r>
        <w:separator/>
      </w:r>
    </w:p>
  </w:footnote>
  <w:footnote w:type="continuationSeparator" w:id="0">
    <w:p w:rsidR="00BA05F3" w:rsidRDefault="00BA05F3">
      <w:r>
        <w:continuationSeparator/>
      </w:r>
    </w:p>
  </w:footnote>
  <w:footnote w:id="1">
    <w:p w:rsidR="001127BE" w:rsidRDefault="001127BE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BE" w:rsidRDefault="001127BE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BE" w:rsidRDefault="001127BE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BE" w:rsidRDefault="001127B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946F3"/>
    <w:multiLevelType w:val="hybridMultilevel"/>
    <w:tmpl w:val="384879D6"/>
    <w:lvl w:ilvl="0" w:tplc="AAAE4BA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15EE"/>
    <w:rsid w:val="000B0218"/>
    <w:rsid w:val="001115EE"/>
    <w:rsid w:val="001127BE"/>
    <w:rsid w:val="0036273F"/>
    <w:rsid w:val="00605D59"/>
    <w:rsid w:val="006F325D"/>
    <w:rsid w:val="008F22E0"/>
    <w:rsid w:val="00913C34"/>
    <w:rsid w:val="00A03D83"/>
    <w:rsid w:val="00AC3180"/>
    <w:rsid w:val="00B53D63"/>
    <w:rsid w:val="00BA05F3"/>
    <w:rsid w:val="00CE1DCA"/>
    <w:rsid w:val="00F6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B0218"/>
    <w:rPr>
      <w:lang w:eastAsia="en-US"/>
    </w:rPr>
  </w:style>
  <w:style w:type="paragraph" w:styleId="Titolo1">
    <w:name w:val="heading 1"/>
    <w:basedOn w:val="Normale"/>
    <w:next w:val="Normale"/>
    <w:qFormat/>
    <w:rsid w:val="000B0218"/>
    <w:pPr>
      <w:keepNext/>
      <w:jc w:val="center"/>
      <w:outlineLvl w:val="0"/>
    </w:pPr>
    <w:rPr>
      <w:rFonts w:ascii="Arial" w:hAnsi="Arial" w:cs="Arial"/>
      <w:b/>
      <w:bCs/>
      <w:sz w:val="24"/>
      <w:szCs w:val="28"/>
    </w:rPr>
  </w:style>
  <w:style w:type="paragraph" w:styleId="Titolo3">
    <w:name w:val="heading 3"/>
    <w:basedOn w:val="Normale"/>
    <w:next w:val="Normale"/>
    <w:qFormat/>
    <w:rsid w:val="000B0218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0B0218"/>
    <w:pPr>
      <w:keepNext/>
      <w:widowControl w:val="0"/>
      <w:autoSpaceDE w:val="0"/>
      <w:autoSpaceDN w:val="0"/>
      <w:ind w:firstLine="708"/>
      <w:outlineLvl w:val="4"/>
    </w:pPr>
    <w:rPr>
      <w:b/>
      <w:bCs/>
    </w:rPr>
  </w:style>
  <w:style w:type="paragraph" w:styleId="Titolo7">
    <w:name w:val="heading 7"/>
    <w:basedOn w:val="Normale"/>
    <w:next w:val="Normale"/>
    <w:qFormat/>
    <w:rsid w:val="000B0218"/>
    <w:pPr>
      <w:keepNext/>
      <w:widowControl w:val="0"/>
      <w:autoSpaceDE w:val="0"/>
      <w:autoSpaceDN w:val="0"/>
      <w:ind w:left="5664" w:firstLine="708"/>
      <w:outlineLvl w:val="6"/>
    </w:pPr>
    <w:rPr>
      <w:b/>
      <w:bCs/>
    </w:rPr>
  </w:style>
  <w:style w:type="paragraph" w:styleId="Titolo8">
    <w:name w:val="heading 8"/>
    <w:basedOn w:val="Normale"/>
    <w:next w:val="Normale"/>
    <w:qFormat/>
    <w:rsid w:val="000B0218"/>
    <w:pPr>
      <w:keepNext/>
      <w:widowControl w:val="0"/>
      <w:autoSpaceDE w:val="0"/>
      <w:autoSpaceDN w:val="0"/>
      <w:jc w:val="center"/>
      <w:outlineLvl w:val="7"/>
    </w:pPr>
    <w:rPr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0B0218"/>
    <w:pPr>
      <w:widowControl w:val="0"/>
      <w:autoSpaceDE w:val="0"/>
      <w:autoSpaceDN w:val="0"/>
      <w:jc w:val="both"/>
    </w:pPr>
  </w:style>
  <w:style w:type="paragraph" w:styleId="Rientrocorpodeltesto2">
    <w:name w:val="Body Text Indent 2"/>
    <w:basedOn w:val="Normale"/>
    <w:rsid w:val="000B0218"/>
    <w:pPr>
      <w:widowControl w:val="0"/>
      <w:autoSpaceDE w:val="0"/>
      <w:autoSpaceDN w:val="0"/>
      <w:ind w:left="360"/>
    </w:pPr>
  </w:style>
  <w:style w:type="paragraph" w:styleId="Testonotadichiusura">
    <w:name w:val="endnote text"/>
    <w:basedOn w:val="Normale"/>
    <w:semiHidden/>
    <w:rsid w:val="000B0218"/>
    <w:pPr>
      <w:widowControl w:val="0"/>
      <w:autoSpaceDE w:val="0"/>
      <w:autoSpaceDN w:val="0"/>
    </w:pPr>
  </w:style>
  <w:style w:type="character" w:styleId="Rimandonotadichiusura">
    <w:name w:val="endnote reference"/>
    <w:basedOn w:val="Carpredefinitoparagrafo"/>
    <w:semiHidden/>
    <w:rsid w:val="000B0218"/>
    <w:rPr>
      <w:vertAlign w:val="superscript"/>
    </w:rPr>
  </w:style>
  <w:style w:type="paragraph" w:styleId="Intestazione">
    <w:name w:val="header"/>
    <w:basedOn w:val="Normale"/>
    <w:rsid w:val="000B021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0B0218"/>
    <w:pPr>
      <w:tabs>
        <w:tab w:val="center" w:pos="4819"/>
        <w:tab w:val="right" w:pos="9638"/>
      </w:tabs>
    </w:pPr>
  </w:style>
  <w:style w:type="paragraph" w:styleId="Rientrocorpodeltesto3">
    <w:name w:val="Body Text Indent 3"/>
    <w:basedOn w:val="Normale"/>
    <w:rsid w:val="000B0218"/>
    <w:pPr>
      <w:tabs>
        <w:tab w:val="left" w:pos="360"/>
      </w:tabs>
      <w:ind w:left="360" w:hanging="360"/>
    </w:pPr>
    <w:rPr>
      <w:snapToGrid w:val="0"/>
      <w:sz w:val="18"/>
      <w:szCs w:val="18"/>
    </w:rPr>
  </w:style>
  <w:style w:type="paragraph" w:styleId="Testonotaapidipagina">
    <w:name w:val="footnote text"/>
    <w:basedOn w:val="Normale"/>
    <w:semiHidden/>
    <w:rsid w:val="000B0218"/>
  </w:style>
  <w:style w:type="character" w:styleId="Rimandonotaapidipagina">
    <w:name w:val="footnote reference"/>
    <w:basedOn w:val="Carpredefinitoparagrafo"/>
    <w:semiHidden/>
    <w:rsid w:val="000B0218"/>
    <w:rPr>
      <w:vertAlign w:val="superscript"/>
    </w:rPr>
  </w:style>
  <w:style w:type="table" w:styleId="Grigliatabella">
    <w:name w:val="Table Grid"/>
    <w:basedOn w:val="Tabellanormale"/>
    <w:rsid w:val="00111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rmale">
    <w:name w:val="Plain Text"/>
    <w:basedOn w:val="Normale"/>
    <w:link w:val="TestonormaleCarattere"/>
    <w:uiPriority w:val="99"/>
    <w:unhideWhenUsed/>
    <w:rsid w:val="00F65E0E"/>
    <w:rPr>
      <w:rFonts w:ascii="Calibri" w:eastAsia="Calibri" w:hAnsi="Calibri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F65E0E"/>
    <w:rPr>
      <w:rFonts w:ascii="Calibri" w:eastAsia="Calibri" w:hAnsi="Calibri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ONERI_CONC_RA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ONERI_CONC_RATE.DOT</Template>
  <TotalTime>11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Oneri Rate</vt:lpstr>
    </vt:vector>
  </TitlesOfParts>
  <Company>Geographica srl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Oneri Rate</dc:title>
  <dc:creator>Marco Carbone</dc:creator>
  <cp:lastModifiedBy>Alberto Serra</cp:lastModifiedBy>
  <cp:revision>7</cp:revision>
  <cp:lastPrinted>2012-03-02T10:38:00Z</cp:lastPrinted>
  <dcterms:created xsi:type="dcterms:W3CDTF">2012-07-13T04:38:00Z</dcterms:created>
  <dcterms:modified xsi:type="dcterms:W3CDTF">2012-11-06T11:39:00Z</dcterms:modified>
</cp:coreProperties>
</file>