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overflowPunct w:val="false"/>
        <w:jc w:val="center"/>
        <w:rPr>
          <w:rFonts w:ascii="Arial" w:hAnsi="Arial" w:cs="Arial"/>
          <w:b/>
          <w:b/>
          <w:sz w:val="22"/>
          <w:szCs w:val="20"/>
        </w:rPr>
      </w:pPr>
      <w:r>
        <w:rPr>
          <w:rFonts w:cs="Arial" w:ascii="Arial" w:hAnsi="Arial"/>
          <w:b/>
          <w:sz w:val="22"/>
          <w:szCs w:val="20"/>
        </w:rPr>
      </w:r>
    </w:p>
    <w:p>
      <w:pPr>
        <w:pStyle w:val="Normal"/>
        <w:jc w:val="center"/>
        <w:rPr/>
      </w:pPr>
      <w:r>
        <w:rPr/>
        <w:drawing>
          <wp:inline distT="0" distB="0" distL="0" distR="0">
            <wp:extent cx="676275" cy="971550"/>
            <wp:effectExtent l="0" t="0" r="0" b="0"/>
            <wp:docPr id="1" name="Immagine 2" descr="Stemma SP ufficiale rgb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descr="Stemma SP ufficiale rgb standard"/>
                    <pic:cNvPicPr>
                      <a:picLocks noChangeAspect="1" noChangeArrowheads="1"/>
                    </pic:cNvPicPr>
                  </pic:nvPicPr>
                  <pic:blipFill>
                    <a:blip r:embed="rId2"/>
                    <a:stretch>
                      <a:fillRect/>
                    </a:stretch>
                  </pic:blipFill>
                  <pic:spPr bwMode="auto">
                    <a:xfrm>
                      <a:off x="0" y="0"/>
                      <a:ext cx="676275" cy="971550"/>
                    </a:xfrm>
                    <a:prstGeom prst="rect">
                      <a:avLst/>
                    </a:prstGeom>
                  </pic:spPr>
                </pic:pic>
              </a:graphicData>
            </a:graphic>
          </wp:inline>
        </w:drawing>
      </w:r>
    </w:p>
    <w:p>
      <w:pPr>
        <w:pStyle w:val="Normal"/>
        <w:jc w:val="center"/>
        <w:rPr/>
      </w:pPr>
      <w:r>
        <w:rPr/>
      </w:r>
    </w:p>
    <w:p>
      <w:pPr>
        <w:pStyle w:val="Normal"/>
        <w:jc w:val="center"/>
        <w:rPr>
          <w:rFonts w:ascii="Arial" w:hAnsi="Arial" w:cs="Arial"/>
          <w:b/>
          <w:b/>
          <w:sz w:val="18"/>
          <w:szCs w:val="18"/>
        </w:rPr>
      </w:pPr>
      <w:r>
        <w:rPr>
          <w:rFonts w:cs="Arial" w:ascii="Arial" w:hAnsi="Arial"/>
          <w:b/>
          <w:sz w:val="18"/>
          <w:szCs w:val="18"/>
        </w:rPr>
        <w:t xml:space="preserve">DIPARTIMENTO III </w:t>
      </w:r>
    </w:p>
    <w:p>
      <w:pPr>
        <w:pStyle w:val="Normal"/>
        <w:jc w:val="center"/>
        <w:rPr>
          <w:rFonts w:ascii="Arial" w:hAnsi="Arial" w:cs="Arial"/>
          <w:b/>
          <w:b/>
          <w:sz w:val="18"/>
          <w:szCs w:val="18"/>
        </w:rPr>
      </w:pPr>
      <w:r>
        <w:rPr>
          <w:rFonts w:cs="Arial" w:ascii="Arial" w:hAnsi="Arial"/>
          <w:b/>
          <w:sz w:val="18"/>
          <w:szCs w:val="18"/>
        </w:rPr>
        <w:t>PIANIFICAZIONE TERRITORIALE – PATRIMONIO – PROGETTI SPECIALI</w:t>
      </w:r>
    </w:p>
    <w:p>
      <w:pPr>
        <w:pStyle w:val="Normal"/>
        <w:jc w:val="center"/>
        <w:rPr>
          <w:rFonts w:ascii="Arial" w:hAnsi="Arial" w:cs="Arial"/>
          <w:b/>
          <w:b/>
          <w:bCs/>
          <w:sz w:val="18"/>
          <w:szCs w:val="18"/>
        </w:rPr>
      </w:pPr>
      <w:r>
        <w:rPr>
          <w:rFonts w:cs="Arial" w:ascii="Arial" w:hAnsi="Arial"/>
          <w:b/>
          <w:bCs/>
          <w:sz w:val="18"/>
          <w:szCs w:val="18"/>
        </w:rPr>
        <w:t>CENTRO DI RESPONSABILITA’ EDILIZIA PRIVATA</w:t>
      </w:r>
    </w:p>
    <w:p>
      <w:pPr>
        <w:pStyle w:val="Normal"/>
        <w:jc w:val="center"/>
        <w:rPr/>
      </w:pPr>
      <w:r>
        <w:rPr/>
      </w:r>
    </w:p>
    <w:p>
      <w:pPr>
        <w:pStyle w:val="Normal"/>
        <w:overflowPunct w:val="false"/>
        <w:jc w:val="center"/>
        <w:rPr>
          <w:rFonts w:ascii="Arial" w:hAnsi="Arial" w:cs="Arial"/>
          <w:b/>
          <w:b/>
          <w:iCs/>
          <w:sz w:val="20"/>
          <w:szCs w:val="20"/>
        </w:rPr>
      </w:pPr>
      <w:r>
        <w:rPr>
          <w:rFonts w:cs="Arial" w:ascii="Arial" w:hAnsi="Arial"/>
          <w:b/>
          <w:iCs/>
          <w:sz w:val="20"/>
          <w:szCs w:val="20"/>
        </w:rPr>
        <w:t>Ordinativo di Incasso</w:t>
      </w:r>
    </w:p>
    <w:p>
      <w:pPr>
        <w:pStyle w:val="Normal"/>
        <w:overflowPunct w:val="false"/>
        <w:jc w:val="center"/>
        <w:rPr>
          <w:rFonts w:ascii="AvantGarde Md BT" w:hAnsi="AvantGarde Md BT"/>
          <w:szCs w:val="20"/>
        </w:rPr>
      </w:pPr>
      <w:r>
        <w:rPr>
          <w:rFonts w:ascii="AvantGarde Md BT" w:hAnsi="AvantGarde Md BT"/>
          <w:szCs w:val="20"/>
        </w:rPr>
      </w:r>
    </w:p>
    <w:p>
      <w:pPr>
        <w:pStyle w:val="Titolo2"/>
        <w:rPr/>
      </w:pPr>
      <w:r>
        <w:rPr>
          <w:rFonts w:eastAsia="Times New Roman" w:cs="Arial" w:ascii="Arial" w:hAnsi="Arial"/>
          <w:color w:val="auto"/>
          <w:sz w:val="22"/>
          <w:szCs w:val="22"/>
        </w:rPr>
        <w:t xml:space="preserve">Richiesta d’ordine d’incasso per PE  [numero] del </w:t>
      </w:r>
      <w:r>
        <w:rPr>
          <w:rFonts w:cs="Arial" w:ascii="Arial" w:hAnsi="Arial"/>
          <w:color w:val="auto"/>
          <w:sz w:val="22"/>
          <w:szCs w:val="22"/>
          <w:lang w:val="en-US"/>
        </w:rPr>
        <w:t>[</w:t>
      </w:r>
      <w:r>
        <w:rPr>
          <w:rFonts w:cs="Arial" w:ascii="Arial" w:hAnsi="Arial"/>
          <w:color w:val="auto"/>
          <w:sz w:val="22"/>
          <w:szCs w:val="22"/>
          <w:lang w:val="en-US"/>
        </w:rPr>
        <w:t>onshow..now;</w:t>
      </w:r>
      <w:r>
        <w:rPr>
          <w:rFonts w:cs="Arial" w:ascii="Arial" w:hAnsi="Arial"/>
          <w:color w:val="auto"/>
          <w:sz w:val="22"/>
          <w:szCs w:val="22"/>
          <w:lang w:val="en-US"/>
        </w:rPr>
        <w:t>frm='dd/mm/yyyy']</w:t>
      </w:r>
    </w:p>
    <w:p>
      <w:pPr>
        <w:pStyle w:val="Normal"/>
        <w:overflowPunct w:val="false"/>
        <w:rPr>
          <w:rFonts w:ascii="Arial" w:hAnsi="Arial" w:cs="Arial"/>
          <w:sz w:val="22"/>
          <w:szCs w:val="22"/>
        </w:rPr>
      </w:pPr>
      <w:r>
        <w:rPr>
          <w:rFonts w:cs="Arial" w:ascii="Arial" w:hAnsi="Arial"/>
          <w:sz w:val="22"/>
          <w:szCs w:val="22"/>
        </w:rPr>
        <w:t>Il Tesoriere Comunale è pregato introitare da:</w:t>
      </w:r>
    </w:p>
    <w:p>
      <w:pPr>
        <w:pStyle w:val="Normal"/>
        <w:overflowPunct w:val="false"/>
        <w:rPr>
          <w:rFonts w:ascii="Arial" w:hAnsi="Arial" w:cs="Arial"/>
          <w:sz w:val="22"/>
          <w:szCs w:val="22"/>
        </w:rPr>
      </w:pPr>
      <w:r>
        <w:rPr>
          <w:rFonts w:cs="Arial" w:ascii="Arial" w:hAnsi="Arial"/>
          <w:sz w:val="22"/>
          <w:szCs w:val="22"/>
        </w:rPr>
      </w:r>
    </w:p>
    <w:tbl>
      <w:tblPr>
        <w:tblW w:w="9638" w:type="dxa"/>
        <w:jc w:val="left"/>
        <w:tblInd w:w="0" w:type="dxa"/>
        <w:tblBorders/>
        <w:tblCellMar>
          <w:top w:w="0" w:type="dxa"/>
          <w:left w:w="108" w:type="dxa"/>
          <w:bottom w:w="0" w:type="dxa"/>
          <w:right w:w="108" w:type="dxa"/>
        </w:tblCellMar>
        <w:tblLook w:noVBand="1" w:val="04a0" w:noHBand="0" w:lastColumn="0" w:firstColumn="1" w:lastRow="0" w:firstRow="1"/>
      </w:tblPr>
      <w:tblGrid>
        <w:gridCol w:w="9638"/>
      </w:tblGrid>
      <w:tr>
        <w:trPr/>
        <w:tc>
          <w:tcPr>
            <w:tcW w:w="9638" w:type="dxa"/>
            <w:tcBorders/>
            <w:shd w:fill="auto" w:val="clear"/>
          </w:tcPr>
          <w:p>
            <w:pPr>
              <w:pStyle w:val="Normal"/>
              <w:overflowPunct w:val="false"/>
              <w:rPr>
                <w:rFonts w:ascii="Arial" w:hAnsi="Arial" w:cs="Arial"/>
                <w:b/>
                <w:b/>
                <w:bCs/>
              </w:rPr>
            </w:pPr>
            <w:r>
              <w:rPr>
                <w:rFonts w:cs="Arial" w:ascii="Arial" w:hAnsi="Arial"/>
                <w:b/>
                <w:bCs/>
              </w:rPr>
              <w:t>[richiedenti.cognome;block=tbs:row;when [richiedenti.ragsoc_compilato]==0] [richiedenti.nome]</w:t>
            </w:r>
          </w:p>
          <w:p>
            <w:pPr>
              <w:pStyle w:val="Normal"/>
              <w:overflowPunct w:val="false"/>
              <w:rPr>
                <w:rFonts w:ascii="Arial" w:hAnsi="Arial" w:cs="Arial"/>
                <w:b/>
                <w:b/>
                <w:bCs/>
              </w:rPr>
            </w:pPr>
            <w:r>
              <w:rPr>
                <w:rFonts w:cs="Arial" w:ascii="Arial" w:hAnsi="Arial"/>
                <w:b/>
                <w:bCs/>
              </w:rPr>
              <w:t>c.f. [richiedenti.codfis]</w:t>
            </w:r>
          </w:p>
          <w:p>
            <w:pPr>
              <w:pStyle w:val="Normal"/>
              <w:overflowPunct w:val="false"/>
              <w:rPr>
                <w:rFonts w:ascii="Arial" w:hAnsi="Arial" w:cs="Arial"/>
                <w:b/>
                <w:b/>
                <w:bCs/>
              </w:rPr>
            </w:pPr>
            <w:r>
              <w:rPr>
                <w:rFonts w:cs="Arial" w:ascii="Arial" w:hAnsi="Arial"/>
                <w:b/>
                <w:bCs/>
              </w:rPr>
            </w:r>
          </w:p>
        </w:tc>
      </w:tr>
      <w:tr>
        <w:trPr/>
        <w:tc>
          <w:tcPr>
            <w:tcW w:w="9638" w:type="dxa"/>
            <w:tcBorders/>
            <w:shd w:fill="auto" w:val="clear"/>
          </w:tcPr>
          <w:p>
            <w:pPr>
              <w:pStyle w:val="Normal"/>
              <w:overflowPunct w:val="false"/>
              <w:rPr>
                <w:rFonts w:ascii="Arial" w:hAnsi="Arial" w:cs="Arial"/>
                <w:b/>
                <w:b/>
                <w:bCs/>
              </w:rPr>
            </w:pPr>
            <w:r>
              <w:rPr>
                <w:rFonts w:cs="Arial" w:ascii="Arial" w:hAnsi="Arial"/>
                <w:b/>
                <w:bCs/>
              </w:rPr>
              <w:t>[richiedenti.ragsoc;block=tbs:row;magnet=tbs:row]</w:t>
            </w:r>
          </w:p>
          <w:p>
            <w:pPr>
              <w:pStyle w:val="Normal"/>
              <w:overflowPunct w:val="false"/>
              <w:rPr>
                <w:rFonts w:ascii="Arial" w:hAnsi="Arial" w:cs="Arial"/>
                <w:b/>
                <w:b/>
                <w:bCs/>
              </w:rPr>
            </w:pPr>
            <w:r>
              <w:rPr>
                <w:rFonts w:cs="Arial" w:ascii="Arial" w:hAnsi="Arial"/>
                <w:b/>
                <w:bCs/>
              </w:rPr>
              <w:t>P.Iva [richiedenti.piva]</w:t>
            </w:r>
          </w:p>
          <w:p>
            <w:pPr>
              <w:pStyle w:val="Normal"/>
              <w:overflowPunct w:val="false"/>
              <w:rPr>
                <w:rFonts w:ascii="Arial" w:hAnsi="Arial" w:cs="Arial"/>
                <w:b/>
                <w:b/>
                <w:bCs/>
              </w:rPr>
            </w:pPr>
            <w:r>
              <w:rPr>
                <w:rFonts w:cs="Arial" w:ascii="Arial" w:hAnsi="Arial"/>
                <w:b/>
                <w:bCs/>
              </w:rPr>
            </w:r>
          </w:p>
        </w:tc>
      </w:tr>
    </w:tbl>
    <w:p>
      <w:pPr>
        <w:pStyle w:val="Normal"/>
        <w:overflowPunct w:val="false"/>
        <w:rPr>
          <w:rFonts w:ascii="Arial" w:hAnsi="Arial" w:cs="Arial"/>
          <w:sz w:val="22"/>
          <w:szCs w:val="22"/>
        </w:rPr>
      </w:pPr>
      <w:r>
        <w:rPr>
          <w:rFonts w:cs="Arial" w:ascii="Arial" w:hAnsi="Arial"/>
          <w:sz w:val="22"/>
          <w:szCs w:val="22"/>
        </w:rPr>
        <w:t>i seguenti importi:</w:t>
      </w:r>
    </w:p>
    <w:p>
      <w:pPr>
        <w:pStyle w:val="Normal"/>
        <w:overflowPunct w:val="false"/>
        <w:rPr>
          <w:rFonts w:ascii="Arial" w:hAnsi="Arial" w:cs="Arial"/>
          <w:sz w:val="22"/>
          <w:szCs w:val="22"/>
        </w:rPr>
      </w:pPr>
      <w:r>
        <w:rPr>
          <w:rFonts w:cs="Arial" w:ascii="Arial" w:hAnsi="Arial"/>
          <w:sz w:val="22"/>
          <w:szCs w:val="22"/>
        </w:rPr>
      </w:r>
    </w:p>
    <w:p>
      <w:pPr>
        <w:pStyle w:val="Normal"/>
        <w:overflowPunct w:val="false"/>
        <w:rPr>
          <w:rFonts w:ascii="Arial" w:hAnsi="Arial" w:cs="Arial"/>
          <w:sz w:val="22"/>
          <w:szCs w:val="22"/>
        </w:rPr>
      </w:pPr>
      <w:r>
        <w:rPr>
          <w:rFonts w:cs="Arial" w:ascii="Arial" w:hAnsi="Arial"/>
          <w:sz w:val="22"/>
          <w:szCs w:val="22"/>
        </w:rPr>
      </w:r>
    </w:p>
    <w:tbl>
      <w:tblPr>
        <w:tblW w:w="9201" w:type="dxa"/>
        <w:jc w:val="left"/>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70" w:type="dxa"/>
          <w:bottom w:w="0" w:type="dxa"/>
          <w:right w:w="70" w:type="dxa"/>
        </w:tblCellMar>
        <w:tblLook w:noVBand="1" w:val="04a0" w:noHBand="0" w:lastColumn="0" w:firstColumn="1" w:lastRow="0" w:firstRow="1"/>
      </w:tblPr>
      <w:tblGrid>
        <w:gridCol w:w="3685"/>
        <w:gridCol w:w="1556"/>
        <w:gridCol w:w="942"/>
        <w:gridCol w:w="1326"/>
        <w:gridCol w:w="1692"/>
      </w:tblGrid>
      <w:tr>
        <w:trPr>
          <w:trHeight w:val="265" w:hRule="atLeast"/>
        </w:trPr>
        <w:tc>
          <w:tcPr>
            <w:tcW w:w="36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overflowPunct w:val="false"/>
              <w:rPr>
                <w:rFonts w:ascii="Arial" w:hAnsi="Arial" w:cs="Arial"/>
                <w:b/>
                <w:b/>
                <w:bCs/>
                <w:sz w:val="22"/>
                <w:szCs w:val="22"/>
              </w:rPr>
            </w:pPr>
            <w:r>
              <w:rPr>
                <w:rFonts w:cs="Arial" w:ascii="Arial" w:hAnsi="Arial"/>
                <w:b/>
                <w:bCs/>
                <w:sz w:val="22"/>
                <w:szCs w:val="22"/>
              </w:rPr>
              <w:t>CAUSALE DEL PAGAMENTO</w:t>
            </w:r>
          </w:p>
        </w:tc>
        <w:tc>
          <w:tcPr>
            <w:tcW w:w="15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overflowPunct w:val="false"/>
              <w:jc w:val="right"/>
              <w:rPr>
                <w:rFonts w:ascii="Arial" w:hAnsi="Arial" w:cs="Arial"/>
                <w:b/>
                <w:b/>
                <w:bCs/>
                <w:sz w:val="22"/>
                <w:szCs w:val="22"/>
              </w:rPr>
            </w:pPr>
            <w:r>
              <w:rPr>
                <w:rFonts w:cs="Arial" w:ascii="Arial" w:hAnsi="Arial"/>
                <w:b/>
                <w:bCs/>
                <w:sz w:val="22"/>
                <w:szCs w:val="22"/>
              </w:rPr>
              <w:t>CAPITOLO</w:t>
            </w:r>
          </w:p>
        </w:tc>
        <w:tc>
          <w:tcPr>
            <w:tcW w:w="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overflowPunct w:val="false"/>
              <w:rPr>
                <w:rFonts w:ascii="Arial" w:hAnsi="Arial" w:cs="Arial"/>
                <w:b/>
                <w:b/>
                <w:bCs/>
                <w:sz w:val="22"/>
                <w:szCs w:val="22"/>
              </w:rPr>
            </w:pPr>
            <w:r>
              <w:rPr>
                <w:rFonts w:cs="Arial" w:ascii="Arial" w:hAnsi="Arial"/>
                <w:b/>
                <w:bCs/>
                <w:sz w:val="22"/>
                <w:szCs w:val="22"/>
              </w:rPr>
              <w:t>Num</w:t>
            </w:r>
          </w:p>
        </w:tc>
        <w:tc>
          <w:tcPr>
            <w:tcW w:w="13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overflowPunct w:val="false"/>
              <w:jc w:val="right"/>
              <w:rPr>
                <w:rFonts w:ascii="Arial" w:hAnsi="Arial" w:cs="Arial"/>
                <w:b/>
                <w:b/>
                <w:bCs/>
                <w:sz w:val="22"/>
                <w:szCs w:val="22"/>
              </w:rPr>
            </w:pPr>
            <w:r>
              <w:rPr>
                <w:rFonts w:cs="Arial" w:ascii="Arial" w:hAnsi="Arial"/>
                <w:b/>
                <w:bCs/>
                <w:sz w:val="22"/>
                <w:szCs w:val="22"/>
              </w:rPr>
              <w:t>IMPORTO</w:t>
            </w:r>
          </w:p>
        </w:tc>
        <w:tc>
          <w:tcPr>
            <w:tcW w:w="1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overflowPunct w:val="false"/>
              <w:jc w:val="right"/>
              <w:rPr>
                <w:rFonts w:ascii="Arial" w:hAnsi="Arial" w:cs="Arial"/>
                <w:b/>
                <w:b/>
                <w:bCs/>
                <w:sz w:val="22"/>
                <w:szCs w:val="22"/>
              </w:rPr>
            </w:pPr>
            <w:r>
              <w:rPr>
                <w:rFonts w:cs="Arial" w:ascii="Arial" w:hAnsi="Arial"/>
                <w:b/>
                <w:bCs/>
                <w:sz w:val="22"/>
                <w:szCs w:val="22"/>
              </w:rPr>
              <w:t>TOTALE</w:t>
            </w:r>
          </w:p>
        </w:tc>
      </w:tr>
      <w:tr>
        <w:trPr>
          <w:trHeight w:val="265" w:hRule="atLeast"/>
        </w:trPr>
        <w:tc>
          <w:tcPr>
            <w:tcW w:w="36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overflowPunct w:val="false"/>
              <w:rPr>
                <w:rFonts w:ascii="Arial" w:hAnsi="Arial" w:cs="Arial"/>
                <w:sz w:val="22"/>
                <w:szCs w:val="22"/>
              </w:rPr>
            </w:pPr>
            <w:r>
              <w:rPr>
                <w:rFonts w:cs="Arial" w:ascii="Arial" w:hAnsi="Arial"/>
                <w:sz w:val="22"/>
                <w:szCs w:val="22"/>
              </w:rPr>
              <w:t>[pagamenti.pagamento_tipo;block=tbs:row;]</w:t>
            </w:r>
          </w:p>
        </w:tc>
        <w:tc>
          <w:tcPr>
            <w:tcW w:w="15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overflowPunct w:val="false"/>
              <w:jc w:val="right"/>
              <w:rPr>
                <w:rFonts w:ascii="Arial" w:hAnsi="Arial" w:cs="Arial"/>
                <w:sz w:val="22"/>
                <w:szCs w:val="22"/>
              </w:rPr>
            </w:pPr>
            <w:r>
              <w:rPr>
                <w:rFonts w:cs="Arial" w:ascii="Arial" w:hAnsi="Arial"/>
                <w:sz w:val="22"/>
                <w:szCs w:val="22"/>
              </w:rPr>
              <w:t>[pagamenti.pagamento_capitolo]</w:t>
            </w:r>
          </w:p>
        </w:tc>
        <w:tc>
          <w:tcPr>
            <w:tcW w:w="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overflowPunct w:val="false"/>
              <w:rPr>
                <w:rFonts w:ascii="Arial" w:hAnsi="Arial" w:cs="Arial"/>
                <w:sz w:val="22"/>
                <w:szCs w:val="22"/>
              </w:rPr>
            </w:pPr>
            <w:r>
              <w:rPr>
                <w:rFonts w:cs="Arial" w:ascii="Arial" w:hAnsi="Arial"/>
                <w:sz w:val="22"/>
                <w:szCs w:val="22"/>
              </w:rPr>
              <w:t>[pagamenti.pagamento_numero]</w:t>
            </w:r>
          </w:p>
        </w:tc>
        <w:tc>
          <w:tcPr>
            <w:tcW w:w="13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overflowPunct w:val="false"/>
              <w:jc w:val="right"/>
              <w:rPr>
                <w:rFonts w:ascii="Arial" w:hAnsi="Arial" w:cs="Arial"/>
                <w:sz w:val="22"/>
                <w:szCs w:val="22"/>
              </w:rPr>
            </w:pPr>
            <w:r>
              <w:rPr>
                <w:rFonts w:cs="Arial" w:ascii="Arial" w:hAnsi="Arial"/>
                <w:sz w:val="22"/>
                <w:szCs w:val="22"/>
              </w:rPr>
              <w:t>[pagamenti.pagamento_importo]</w:t>
            </w:r>
          </w:p>
        </w:tc>
        <w:tc>
          <w:tcPr>
            <w:tcW w:w="16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overflowPunct w:val="false"/>
              <w:jc w:val="right"/>
              <w:rPr>
                <w:rFonts w:ascii="Arial" w:hAnsi="Arial" w:cs="Arial"/>
                <w:sz w:val="22"/>
                <w:szCs w:val="22"/>
              </w:rPr>
            </w:pPr>
            <w:r>
              <w:rPr>
                <w:rFonts w:cs="Arial" w:ascii="Arial" w:hAnsi="Arial"/>
                <w:sz w:val="22"/>
                <w:szCs w:val="22"/>
              </w:rPr>
              <w:t>[pagamenti.importo_totale]</w:t>
            </w:r>
          </w:p>
        </w:tc>
      </w:tr>
    </w:tbl>
    <w:p>
      <w:pPr>
        <w:pStyle w:val="Normal"/>
        <w:overflowPunct w:val="false"/>
        <w:rPr>
          <w:rFonts w:ascii="Arial" w:hAnsi="Arial" w:cs="Arial"/>
          <w:sz w:val="22"/>
          <w:szCs w:val="22"/>
        </w:rPr>
      </w:pPr>
      <w:r>
        <w:rPr>
          <w:rFonts w:cs="Arial" w:ascii="Arial" w:hAnsi="Arial"/>
          <w:sz w:val="22"/>
          <w:szCs w:val="22"/>
        </w:rPr>
      </w:r>
    </w:p>
    <w:p>
      <w:pPr>
        <w:pStyle w:val="Normal"/>
        <w:overflowPunct w:val="false"/>
        <w:rPr>
          <w:rFonts w:ascii="Arial" w:hAnsi="Arial" w:cs="Arial"/>
          <w:sz w:val="22"/>
          <w:szCs w:val="22"/>
        </w:rPr>
      </w:pPr>
      <w:bookmarkStart w:id="0" w:name="Totale"/>
      <w:r>
        <w:rPr>
          <w:rFonts w:cs="Arial" w:ascii="Arial" w:hAnsi="Arial"/>
          <w:sz w:val="22"/>
          <w:szCs w:val="22"/>
        </w:rPr>
        <w:t xml:space="preserve">Per un totale di € </w:t>
      </w:r>
      <w:bookmarkEnd w:id="0"/>
      <w:r>
        <w:rPr>
          <w:rFonts w:cs="Arial" w:ascii="Arial" w:hAnsi="Arial"/>
          <w:sz w:val="22"/>
          <w:szCs w:val="22"/>
        </w:rPr>
        <w:t>[pagamenti_totale]</w:t>
      </w:r>
    </w:p>
    <w:p>
      <w:pPr>
        <w:pStyle w:val="Normal"/>
        <w:overflowPunct w:val="false"/>
        <w:rPr>
          <w:rFonts w:ascii="Arial" w:hAnsi="Arial" w:cs="Arial"/>
          <w:sz w:val="22"/>
          <w:szCs w:val="22"/>
        </w:rPr>
      </w:pPr>
      <w:r>
        <w:rPr>
          <w:rFonts w:cs="Arial" w:ascii="Arial" w:hAnsi="Arial"/>
          <w:sz w:val="22"/>
          <w:szCs w:val="22"/>
        </w:rPr>
      </w:r>
    </w:p>
    <w:p>
      <w:pPr>
        <w:pStyle w:val="Normal"/>
        <w:overflowPunct w:val="false"/>
        <w:jc w:val="both"/>
        <w:rPr>
          <w:rFonts w:ascii="Arial" w:hAnsi="Arial" w:cs="Arial"/>
          <w:sz w:val="22"/>
          <w:szCs w:val="22"/>
        </w:rPr>
      </w:pPr>
      <w:r>
        <w:rPr>
          <w:rFonts w:cs="Arial" w:ascii="Arial" w:hAnsi="Arial"/>
          <w:sz w:val="22"/>
          <w:szCs w:val="22"/>
        </w:rPr>
        <w:t xml:space="preserve">La Spezia, </w:t>
      </w:r>
      <w:r>
        <w:rPr>
          <w:rFonts w:cs="Arial" w:ascii="Arial" w:hAnsi="Arial"/>
          <w:sz w:val="22"/>
          <w:szCs w:val="22"/>
          <w:lang w:val="en-US"/>
        </w:rPr>
        <w:t>[</w:t>
      </w:r>
      <w:r>
        <w:rPr>
          <w:rFonts w:cs="Arial" w:ascii="Arial" w:hAnsi="Arial"/>
          <w:sz w:val="22"/>
          <w:szCs w:val="22"/>
          <w:lang w:val="en-US"/>
        </w:rPr>
        <w:t>onshow..now;</w:t>
      </w:r>
      <w:r>
        <w:rPr>
          <w:rFonts w:cs="Arial" w:ascii="Arial" w:hAnsi="Arial"/>
          <w:sz w:val="22"/>
          <w:szCs w:val="22"/>
          <w:lang w:val="en-US"/>
        </w:rPr>
        <w:t>frm='dd/mm/yyyy']</w:t>
      </w:r>
      <w:r>
        <w:rPr>
          <w:rFonts w:cs="Arial" w:ascii="Arial" w:hAnsi="Arial"/>
          <w:sz w:val="22"/>
          <w:szCs w:val="22"/>
        </w:rPr>
        <w:tab/>
        <w:tab/>
        <w:tab/>
        <w:tab/>
        <w:t>Il Funzionario</w:t>
      </w:r>
    </w:p>
    <w:p>
      <w:pPr>
        <w:pStyle w:val="Normal"/>
        <w:tabs>
          <w:tab w:val="left" w:pos="5954" w:leader="none"/>
        </w:tabs>
        <w:rPr>
          <w:rFonts w:ascii="Arial" w:hAnsi="Arial" w:cs="Arial"/>
          <w:sz w:val="22"/>
          <w:szCs w:val="22"/>
        </w:rPr>
      </w:pPr>
      <w:r>
        <w:rPr>
          <w:rFonts w:cs="Arial" w:ascii="Arial" w:hAnsi="Arial"/>
          <w:sz w:val="22"/>
          <w:szCs w:val="22"/>
        </w:rPr>
      </w:r>
    </w:p>
    <w:p>
      <w:pPr>
        <w:pStyle w:val="Normal"/>
        <w:tabs>
          <w:tab w:val="left" w:pos="5954" w:leader="none"/>
        </w:tabs>
        <w:rPr>
          <w:rFonts w:ascii="Arial" w:hAnsi="Arial" w:cs="Arial"/>
          <w:sz w:val="22"/>
          <w:szCs w:val="22"/>
        </w:rPr>
      </w:pPr>
      <w:r>
        <w:rPr>
          <w:rFonts w:cs="Arial" w:ascii="Arial" w:hAnsi="Arial"/>
          <w:sz w:val="22"/>
          <w:szCs w:val="22"/>
        </w:rPr>
      </w:r>
    </w:p>
    <w:p>
      <w:pPr>
        <w:pStyle w:val="Normal"/>
        <w:tabs>
          <w:tab w:val="left" w:pos="5954" w:leader="none"/>
        </w:tabs>
        <w:rPr>
          <w:rFonts w:ascii="Arial" w:hAnsi="Arial" w:cs="Arial"/>
          <w:sz w:val="22"/>
          <w:szCs w:val="22"/>
        </w:rPr>
      </w:pPr>
      <w:r>
        <w:rPr>
          <w:rFonts w:cs="Arial" w:ascii="Arial" w:hAnsi="Arial"/>
          <w:sz w:val="22"/>
          <w:szCs w:val="22"/>
        </w:rPr>
      </w:r>
    </w:p>
    <w:p>
      <w:pPr>
        <w:pStyle w:val="Normal"/>
        <w:tabs>
          <w:tab w:val="left" w:pos="5954" w:leader="none"/>
        </w:tabs>
        <w:rPr>
          <w:rFonts w:ascii="Arial" w:hAnsi="Arial" w:cs="Arial"/>
          <w:sz w:val="22"/>
          <w:szCs w:val="22"/>
        </w:rPr>
      </w:pPr>
      <w:r>
        <w:rPr>
          <w:rFonts w:cs="Arial" w:ascii="Arial" w:hAnsi="Arial"/>
          <w:sz w:val="22"/>
          <w:szCs w:val="22"/>
        </w:rPr>
      </w:r>
    </w:p>
    <w:p>
      <w:pPr>
        <w:pStyle w:val="Normal"/>
        <w:tabs>
          <w:tab w:val="left" w:pos="5954" w:leader="none"/>
        </w:tabs>
        <w:rPr>
          <w:rFonts w:ascii="Arial" w:hAnsi="Arial" w:cs="Arial"/>
          <w:sz w:val="22"/>
          <w:szCs w:val="22"/>
        </w:rPr>
      </w:pPr>
      <w:r>
        <w:rPr>
          <w:rFonts w:cs="Arial" w:ascii="Arial" w:hAnsi="Arial"/>
          <w:sz w:val="22"/>
          <w:szCs w:val="22"/>
        </w:rPr>
      </w:r>
    </w:p>
    <w:p>
      <w:pPr>
        <w:pStyle w:val="Normal"/>
        <w:tabs>
          <w:tab w:val="left" w:pos="5954" w:leader="none"/>
        </w:tabs>
        <w:rPr>
          <w:rFonts w:ascii="Arial" w:hAnsi="Arial" w:cs="Arial"/>
          <w:sz w:val="22"/>
          <w:szCs w:val="22"/>
        </w:rPr>
      </w:pPr>
      <w:r>
        <w:rPr>
          <w:rFonts w:cs="Arial" w:ascii="Arial" w:hAnsi="Arial"/>
          <w:sz w:val="22"/>
          <w:szCs w:val="22"/>
        </w:rPr>
      </w:r>
      <w:bookmarkStart w:id="1" w:name="_GoBack"/>
      <w:bookmarkStart w:id="2" w:name="_GoBack"/>
      <w:bookmarkEnd w:id="2"/>
    </w:p>
    <w:p>
      <w:pPr>
        <w:pStyle w:val="NormalWeb"/>
        <w:spacing w:lineRule="atLeast" w:line="240"/>
        <w:rPr>
          <w:rFonts w:ascii="Arial" w:hAnsi="Arial" w:cs="Arial"/>
          <w:sz w:val="22"/>
          <w:szCs w:val="22"/>
        </w:rPr>
      </w:pPr>
      <w:r>
        <w:rPr>
          <w:rFonts w:cs="Arial" w:ascii="Arial" w:hAnsi="Arial"/>
          <w:sz w:val="22"/>
          <w:szCs w:val="22"/>
        </w:rPr>
        <w:t>N.B. "Qualora il pagamento dei predetti oneri avvenga comunque mediante bonifico, fermo restando il diritto alla detrazione da parte del contribuente, per evitare l’applicazione di ritenute, nella motivazione del bonifico l’ordinante deve indicare il Comune come soggetto beneficiario e la causale del versamento (ad esempio: oneri di urbanizzazione, tosap, etc..); non va, invece, riportato il riferimento agli interventi edilizi e ai provvedimenti legislativi che danno diritto alle detrazioni e non deve essere utilizzato l’apposito modulo, ove predisposto dalla banca o dall’ufficio postale. Risoluzione n. 3/E del 04/01/2011, Agenzia delle Entrate</w:t>
      </w:r>
    </w:p>
    <w:p>
      <w:pPr>
        <w:pStyle w:val="NormalWeb"/>
        <w:spacing w:lineRule="atLeast" w:line="240"/>
        <w:rPr/>
      </w:pPr>
      <w:r>
        <w:rPr>
          <w:rFonts w:cs="Arial" w:ascii="Arial" w:hAnsi="Arial"/>
          <w:b/>
          <w:bCs/>
          <w:sz w:val="22"/>
          <w:szCs w:val="22"/>
        </w:rPr>
        <w:t xml:space="preserve">ATTENZIONE: il pagamento deve essere eseguito </w:t>
      </w:r>
      <w:r>
        <w:rPr>
          <w:rFonts w:cs="Arial" w:ascii="Arial" w:hAnsi="Arial"/>
          <w:b/>
          <w:bCs/>
          <w:sz w:val="22"/>
          <w:szCs w:val="22"/>
          <w:u w:val="none"/>
        </w:rPr>
        <w:t>esclusivamente</w:t>
      </w:r>
      <w:r>
        <w:rPr>
          <w:rFonts w:cs="Arial" w:ascii="Arial" w:hAnsi="Arial"/>
          <w:b/>
          <w:bCs/>
          <w:sz w:val="22"/>
          <w:szCs w:val="22"/>
        </w:rPr>
        <w:t xml:space="preserve"> mediante il sistema di pagamento pubblico PagoPA, utilizzando la funzione “Trasmissione Integrazioni” del Portale Istanze Online. </w:t>
      </w:r>
    </w:p>
    <w:p>
      <w:pPr>
        <w:pStyle w:val="Normal"/>
        <w:tabs>
          <w:tab w:val="left" w:pos="5954" w:leader="none"/>
        </w:tabs>
        <w:jc w:val="both"/>
        <w:rPr/>
      </w:pPr>
      <w:r>
        <w:rPr/>
      </w:r>
    </w:p>
    <w:sectPr>
      <w:type w:val="nextPage"/>
      <w:pgSz w:w="11906" w:h="16838"/>
      <w:pgMar w:left="1134" w:right="1134" w:header="0" w:top="1079" w:footer="0" w:bottom="709"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roman"/>
    <w:pitch w:val="variable"/>
  </w:font>
  <w:font w:name="Arial">
    <w:charset w:val="01"/>
    <w:family w:val="roman"/>
    <w:pitch w:val="variable"/>
  </w:font>
  <w:font w:name="AvantGarde Md BT">
    <w:charset w:val="01"/>
    <w:family w:val="roman"/>
    <w:pitch w:val="variable"/>
  </w:font>
</w:fonts>
</file>

<file path=word/settings.xml><?xml version="1.0" encoding="utf-8"?>
<w:settings xmlns:w="http://schemas.openxmlformats.org/wordprocessingml/2006/main">
  <w:zoom w:percent="100"/>
  <w:embedSystemFont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2"/>
        <w:lang w:val="it-IT" w:eastAsia="it-IT" w:bidi="ar-SA"/>
      </w:rPr>
    </w:rPrDefault>
    <w:pPrDefault>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32d1b"/>
    <w:pPr>
      <w:widowControl/>
      <w:bidi w:val="0"/>
      <w:jc w:val="left"/>
    </w:pPr>
    <w:rPr>
      <w:rFonts w:ascii="Times New Roman" w:hAnsi="Times New Roman" w:eastAsia="Times New Roman" w:cs="Times New Roman"/>
      <w:color w:val="auto"/>
      <w:kern w:val="0"/>
      <w:sz w:val="24"/>
      <w:szCs w:val="24"/>
      <w:lang w:val="it-IT" w:eastAsia="it-IT" w:bidi="ar-SA"/>
    </w:rPr>
  </w:style>
  <w:style w:type="paragraph" w:styleId="Titolo1">
    <w:name w:val="Heading 1"/>
    <w:basedOn w:val="Normal"/>
    <w:link w:val="Titolo1Carattere"/>
    <w:uiPriority w:val="99"/>
    <w:qFormat/>
    <w:rsid w:val="00232d1b"/>
    <w:pPr>
      <w:keepNext w:val="true"/>
      <w:jc w:val="center"/>
      <w:outlineLvl w:val="0"/>
    </w:pPr>
    <w:rPr>
      <w:b/>
      <w:bCs/>
      <w:sz w:val="36"/>
    </w:rPr>
  </w:style>
  <w:style w:type="paragraph" w:styleId="Titolo2">
    <w:name w:val="Heading 2"/>
    <w:basedOn w:val="Normal"/>
    <w:link w:val="Titolo2Carattere"/>
    <w:semiHidden/>
    <w:unhideWhenUsed/>
    <w:qFormat/>
    <w:locked/>
    <w:rsid w:val="00d534eb"/>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9"/>
    <w:qFormat/>
    <w:locked/>
    <w:rPr>
      <w:rFonts w:ascii="Cambria" w:hAnsi="Cambria" w:cs="Times New Roman"/>
      <w:b/>
      <w:bCs/>
      <w:kern w:val="2"/>
      <w:sz w:val="32"/>
      <w:szCs w:val="32"/>
    </w:rPr>
  </w:style>
  <w:style w:type="character" w:styleId="Titolo2Carattere" w:customStyle="1">
    <w:name w:val="Titolo 2 Carattere"/>
    <w:basedOn w:val="DefaultParagraphFont"/>
    <w:link w:val="Titolo2"/>
    <w:semiHidden/>
    <w:qFormat/>
    <w:rsid w:val="00d534eb"/>
    <w:rPr>
      <w:rFonts w:ascii="Cambria" w:hAnsi="Cambria" w:eastAsia="" w:cs="" w:asciiTheme="majorHAnsi" w:cstheme="majorBidi" w:eastAsiaTheme="majorEastAsia" w:hAnsiTheme="majorHAnsi"/>
      <w:color w:val="365F91" w:themeColor="accent1" w:themeShade="bf"/>
      <w:sz w:val="26"/>
      <w:szCs w:val="26"/>
    </w:rPr>
  </w:style>
  <w:style w:type="character" w:styleId="Smallcode" w:customStyle="1">
    <w:name w:val="smallcode"/>
    <w:basedOn w:val="DefaultParagraphFont"/>
    <w:qFormat/>
    <w:rsid w:val="00f051f1"/>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aption">
    <w:name w:val="caption"/>
    <w:basedOn w:val="Normal"/>
    <w:uiPriority w:val="99"/>
    <w:qFormat/>
    <w:rsid w:val="00eb572e"/>
    <w:pPr>
      <w:jc w:val="center"/>
    </w:pPr>
    <w:rPr>
      <w:b/>
      <w:sz w:val="32"/>
      <w:szCs w:val="20"/>
    </w:rPr>
  </w:style>
  <w:style w:type="paragraph" w:styleId="NormalWeb">
    <w:name w:val="Normal (Web)"/>
    <w:basedOn w:val="Normal"/>
    <w:uiPriority w:val="99"/>
    <w:semiHidden/>
    <w:unhideWhenUsed/>
    <w:qFormat/>
    <w:rsid w:val="00643c97"/>
    <w:pPr>
      <w:spacing w:beforeAutospacing="1" w:afterAutospacing="1"/>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LibreOffice/6.0.7.3$Linux_X86_64 LibreOffice_project/00m0$Build-3</Application>
  <Pages>1</Pages>
  <Words>177</Words>
  <Characters>1453</Characters>
  <CharactersWithSpaces>1613</CharactersWithSpaces>
  <Paragraphs>26</Paragraphs>
  <Company>Comune della Spezia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2016-10-04T13:00:00Z</dcterms:created>
  <dc:creator>comune</dc:creator>
  <dc:description/>
  <dc:language>it-IT</dc:language>
  <cp:lastModifiedBy/>
  <dcterms:modified xsi:type="dcterms:W3CDTF">2019-07-29T14:11:30Z</dcterms:modified>
  <cp:revision>7</cp:revision>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Comune della Spezia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