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 xml:space="preserve">PROCEDIMENTO SEMPLIFICATO </w:t>
            </w:r>
          </w:p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 xml:space="preserve">ISTANZA DI AUTORIZZAZIONE PAESAGGISTICA </w:t>
            </w:r>
          </w:p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>PER GLI INTERVENTI DI LIEVE ENTITA'</w:t>
            </w:r>
          </w:p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>AI SENSI DELL’ART. 146 DLGS 42/2004 E DEL RELATIVO REGOLAMENTO DPR 9.7.2010 N.139</w:t>
            </w:r>
          </w:p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>RELAZIONE TECNICA ILLUSTRATIVA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INTERVENTO: [oggetto]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UBICAZIONE : [ubicazione]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ISTANZA PERVENUTA IL [data_presentazione] PROT. DEL [protocollo]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RICHIEDENTI : [elenco_richiedenti]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PROGETTISTA : [elenco_progettisti]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11"/>
        <w:gridCol w:w="9332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RICHIESTA DI AUTORIZZAZIONE PAESAGGISTICA SEMPLIFICATA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Non correlata a istanza di permesso di costruire, denuncia di inizio attività, segnalazione certificata di inizio attività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 xml:space="preserve">Correlata a istanza di permesso di costruire ex LR16/2008, presentata in data prot.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denuncia di inizio attività ex LR16/2008, presentata in data prot.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segnalazione certificata di inizio attività ex LR16/2008, presentata in data prot. 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progetto di opera pubblica comunale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istanza di procedimento di Sportello unico per le attività produttive ex art. 8 LR10/2012 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(Conferenza di servizi in caso di SCIA)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istanza di procedimento di Sportello unico per le attività produttive ex art. 9 LR10/2012 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(Conferenza di servizi in caso di DIA)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istanza di procedimento di Sportello unico per le attività produttive ex art. 10 LR10/2012 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(Conferenza di servizi nel caso di Procedimento unico)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Variante a autorizzazione paesaggistica già rilasciata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 xml:space="preserve">Altro : 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DESCRIZIONE DELL’INTERVENTO :</w:t>
      </w:r>
    </w:p>
    <w:tbl>
      <w:tblPr>
        <w:tblW w:w="0" w:type="auto"/>
        <w:tblInd w:w="108" w:type="dxa"/>
        <w:tblLayout w:type="fixed"/>
        <w:tblLook w:val="0000"/>
      </w:tblPr>
      <w:tblGrid>
        <w:gridCol w:w="9630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spacing w:before="10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INTERVENTO CLASSIFICABILE AI SENSI DELL’ALLEGATO 1 AL DPR 139/2010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highlight w:val="yellow"/>
          <w:lang/>
        </w:rPr>
      </w:pPr>
      <w:r>
        <w:rPr>
          <w:rFonts w:ascii="Arial" w:hAnsi="Arial" w:cs="Arial"/>
          <w:b/>
          <w:bCs/>
          <w:sz w:val="20"/>
          <w:szCs w:val="20"/>
          <w:highlight w:val="yellow"/>
          <w:lang/>
        </w:rPr>
        <w:t>eliminare tutte le voci che non interessano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86"/>
        <w:gridCol w:w="8057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PUNTO DELL’ALLEGATO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DEFINIZIONE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Incremento di volume non superiore al 10 per cento della volumetria della costruzione originaria e comunque non superiore a 100 mc (la presente voce non si applica nelle zone territoriali omogenee "A"di cui all'</w:t>
            </w:r>
            <w:hyperlink r:id="rId7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2 del decreto ministeriale 2 aprile 1968, n. 1444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, e ad esse assimilabili e agli immobili soggetti a tutela ai sensi dell'</w:t>
            </w:r>
            <w:hyperlink r:id="rId8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 Ogni successivo incremento sullo stesso immobile è sottoposto a procedura autorizzatoria ordinaria.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di demolizione e ricostruzione con il rispetto di volumetria e sagoma preesistenti. La presente voce non si applica agli immobili soggetti a tutela ai sensi dell'</w:t>
            </w:r>
            <w:hyperlink r:id="rId9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color w:val="000080"/>
                <w:sz w:val="18"/>
                <w:szCs w:val="18"/>
                <w:u w:val="single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di demolizione senza ricostruzione o demolizione di superfetazioni (la presente voce non si applica agli immobili soggetti a tutela ai sensi dell'</w:t>
            </w:r>
            <w:hyperlink r:id="rId10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sui prospetti degli edifici esistenti, quali: aperture di porte e finestre o modifica delle aperture esistenti per dimensione e posizione; interventi sulle finiture esterne, con rifacimento di intonaci, tinteggiature o rivestimenti esterni, modificativi di quelli preesistenti; realizzazione o modifica di balconi o terrazze; inserimento o modifica di cornicioni, ringhiere, parapetti; chiusura di terrazze o di balconi già chiusi su tre lati mediante installazione di infissi; realizzazione, modifica o sostituzione di scale esterne (la presente voce non si applica agli immobili soggetti a tutela ai sensi dell'</w:t>
            </w:r>
            <w:hyperlink r:id="rId11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sulle coperture degli edifici esistenti, quali: rifacimento del manto del tetto e delle lattonerie con materiale diverso; modifiche indispensabili per l'installazione di impianti tecnologici; modifiche alla inclinazione o alla configurazione delle falde; realizzazione di lastrici solari o terrazze a tasca di piccole dimensioni; inserimento di canne fumarie o comignoli; realizzazione o modifica di finestre a tetto e lucernari; realizzazione di abbaini o elementi consimili (la presente voce non si applica agli immobili soggetti a tutela ai sensi dell'</w:t>
            </w:r>
            <w:hyperlink r:id="rId12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Modifiche che si rendono necessarie per l'adeguamento alla normativa antisismica ovvero per il contenimento dei consumi energetici degli edifici.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Realizzazione o modifica di autorimesse pertinenziali, collocate fuori terra ovvero parzialmente o totalmente interrate, con volume non superiore a 50 mc, compresi percorsi di accesso ed eventuali rampe. Ogni successivo intervento di realizzazione o modifica di autorimesse pertinenziale allo stesso immobile è sottoposto a procedura autorizzatoria ordinaria.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Realizzazione di tettoie, porticati, chioschi da giardino e manufatti consimili aperti su più lati, aventi una superficie non superiore a 30 mq.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Realizzazione di manufatti accessori o volumi tecnici di piccole dimensioni (volume non superiore a 10 mc).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10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necessari al superamento delle barriere architettoniche, anche comportanti modifica dei prospetti o delle pertinenze esterne degli edifici, ovvero realizzazione o modifica di volumi tecnici. Sono fatte salve le procedure semplificate ai sensi delle leggi speciali di settore (la presente voce non si applica agli immobili soggetti a tutela ai sensi dell'</w:t>
            </w:r>
            <w:hyperlink r:id="rId13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color w:val="000080"/>
                <w:sz w:val="18"/>
                <w:szCs w:val="18"/>
                <w:u w:val="single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Realizzazione o modifica di cancelli, recinzioni, o muri di contenimento del terreno (la presente voce non si applica agli immobili soggetti a tutela ai sensi dell'</w:t>
            </w:r>
            <w:hyperlink r:id="rId14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di modifica di muri di cinta esistenti senza incrementi di altezza.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sistematici nelle aree di pertinenza di edifici esistenti, quali: pavimentazioni, accessi pedonali e carrabili di larghezza non superiore a 4 m, modellazioni del suolo, rampe o arredi fissi (la presente voce non si applica agli immobili soggetti a tutela ai sensi dell'</w:t>
            </w:r>
            <w:hyperlink r:id="rId15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Realizzazione di monumenti ed edicole funerarie all'interno delle zone cimiteriali.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>15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Posa in opera di cartelli e altri mezzi pubblicitari non temporanei di cui all'</w:t>
            </w:r>
            <w:hyperlink r:id="rId16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art. 153, comma 1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, di dimensioni inferiori a 18 mq, ivi comprese le insegne per le attività commerciali o pubblici esercizi (la presente voce non si applica agli immobili soggetti a tutela ai sensi dell'</w:t>
            </w:r>
            <w:hyperlink r:id="rId17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art. 136, comma 1, lettere a), b) e c)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Collocazione di tende da sole sulle facciate degli edifici per locali destinati ad attività commerciali e pubblici esercizi.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puntuali di adeguamento della viabilità esistente, quali: adeguamento di rotatorie, riconfigurazione di incroci stradali, realizzazione di banchine e marciapiedi, manufatti necessari per la sicurezza della circolazione, nonché quelli relativi alla realizzazione di parcheggi a raso a condizione che assicurino la permeabilità del suolo, sistemazione e arredo di aree verdi.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di allaccio alle infrastrutture a rete, ove comportanti la realizzazione di opere in soprasuolo.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Linee elettriche e telefoniche su palo a servizio di singole utenze di altezza non superiore, rispettivamente, a metri 10 e a metri 6,30.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20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Adeguamento di cabine elettriche o del gas, ovvero sostituzione delle medesime con altre di tipologia e dimensioni analoghe.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sistematici di arredo urbano comportanti l'installazione di manufatti e componenti, compresi gli impianti di pubblica illuminazione.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Installazione di impianti tecnologici esterni per uso domestico autonomo, quali condizionatori e impianti di climatizzazione dotati di unità esterna, caldaie, parabole, antenne (la presente voce non si applica agli immobili soggetti a tutela ai sensi dell'</w:t>
            </w:r>
            <w:hyperlink r:id="rId18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color w:val="000080"/>
                <w:sz w:val="18"/>
                <w:szCs w:val="18"/>
                <w:u w:val="single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Parabole satellitari condominiali e impianti di condizionamento esterni centralizzati, nonché impianti per l'accesso alle reti di comunicazione elettronica di piccole dimensioni con superficie non superiore ad 1 mq o volume non superiore ad 1 mc (la presente voce non si applica agli immobili soggetti a tutela ai sensi dell'</w:t>
            </w:r>
            <w:hyperlink r:id="rId19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a),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).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Installazione di impianti di radiocomunicazioni elettroniche mobili, di cui all'</w:t>
            </w:r>
            <w:hyperlink r:id="rId20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87 del decreto legislativo 1° agosto 2003, n. 259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, che comportino la realizzazione di supporti di antenne non superiori a 6 metri se collocati su edifici esistenti, e/o la realizzazione di sopralzi di infrastrutture esistenti come pali o tralicci, non superiori a 6 metri, e/o la realizzazione di apparati di telecomunicazioni a servizio delle antenne, costituenti volumi tecnici, tali comunque da non superare l'altezza di metri 3 se collocati su edifici esistenti e di metri 4 se posati direttamente a terra.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Installazione in soprassuolo di serbatoi di GPL di dimensione non superiore a 13 mc, e opere di recinzione e sistemazione correlate.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Impianti tecnici esterni al servizio di edifici esistenti a destinazione produttiva, quali sistemi per la canalizzazione dei fluidi mediante tubazioni esterne, lo stoccaggio dei prodotti e canne fumarie.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Posa in opera di manufatti completamente interrati (serbatoi, cisterne etc.), che comportino la modifica della morfologia del terreno, comprese opere di recinzione o sistemazione correlate.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Pannelli solari, termici e fotovoltaici fino ad una superficie di 25 mq (la presente voce non si applica nelle zone territoriali omogenee "A"di cui all'</w:t>
            </w:r>
            <w:hyperlink r:id="rId21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2 del decreto ministeriale n. 1444 del 1968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, e ad esse assimilabili, e nelle aree vincolate ai sensi dell'</w:t>
            </w:r>
            <w:hyperlink r:id="rId22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b) e c),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 xml:space="preserve">), ferme restando le diverse e più favorevoli previsioni del </w:t>
            </w:r>
            <w:hyperlink r:id="rId23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decreto legislativo 30 maggio 2008, n. 115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 xml:space="preserve">, recante "Attuazione della </w:t>
            </w:r>
            <w:hyperlink r:id="rId24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direttiva 2006/32/CE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 xml:space="preserve">relativa all'efficienza degli usi finali dell'energia e i servizi energetici e abrogazione della </w:t>
            </w:r>
            <w:hyperlink r:id="rId25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direttiva 93/76/CEE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", e dell'</w:t>
            </w:r>
            <w:hyperlink r:id="rId26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1, comma 289, della legge 24 dicembre 2007, n. 244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, recante "Disposizioni per la formazione del bilancio annuale e pluriennale dello Stato (legge finanziaria 2008)".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Nuovi pozzi, opere di presa e prelievo da falda per uso domestico, preventivamente assentiti dalle Amministrazioni competenti, comportanti la realizzazione di manufatti in soprasuolo.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30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Tombinamento parziale di corsi d'acqua per tratti fino a 4 m ed esclusivamente per dare accesso ad abitazioni esistenti e/o a fondi agricoli interclusi, nonché la riapertura di tratti tombinati di corsi d'acqua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Interventi di ripascimento localizzato di tratti di arenile in erosione, manutenzione di dune artificiali in funzione antierosiva, ripristino di opere di difesa esistenti sulla costa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Ripristino e adeguamento funzionale di manufatti di difesa dalle acque delle sponde dei corsi d'acqua e dei laghi.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Taglio selettivo di vegetazione ripariale presente sulle sponde o sulle isole fluviali.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Riduzione di superfici boscate in aree di pertinenza di immobili esistenti, per superfici non superiori a 100 mq, preventivamente assentita dalle amministrazioni competenti.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Ripristino di prati stabili, prati pascolo, coltivazioni agrarie tipiche, mediante riduzione di aree boscate di recente formazione per superfici non superiori a 5000 mq, preventivamente assentiti dalle amministrazioni competenti.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Taglio di alberi isolati o in gruppi, ove ricompresi nelle aree di cui all'</w:t>
            </w:r>
            <w:hyperlink r:id="rId27" w:history="1">
              <w:r>
                <w:rPr>
                  <w:rFonts w:ascii="Arial" w:hAnsi="Arial" w:cs="Arial"/>
                  <w:color w:val="000080"/>
                  <w:sz w:val="18"/>
                  <w:szCs w:val="18"/>
                  <w:u w:val="single"/>
                  <w:lang/>
                </w:rPr>
                <w:t>articolo 136, comma 1, lettere c) e d), del Codice</w:t>
              </w:r>
            </w:hyperlink>
            <w:r>
              <w:rPr>
                <w:rFonts w:ascii="Arial" w:hAnsi="Arial" w:cs="Arial"/>
                <w:sz w:val="18"/>
                <w:szCs w:val="18"/>
                <w:lang/>
              </w:rPr>
              <w:t>, preventivamente assentito dalle amministrazioni competenti.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Manufatti realizzati in legno per ricovero attrezzi agricoli, con superficie non superiore a 10 mq.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Occupazione temporanea di suolo privato, pubblico, o di uso pubblico, con strutture mobili, chioschi e simili, per un periodo superiore a 120 giorni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 xml:space="preserve">Strutture stagionali non permanenti collegate ad attività turistiche, sportive o del tempo libero, da </w:t>
            </w:r>
            <w:r>
              <w:rPr>
                <w:rFonts w:ascii="Arial" w:hAnsi="Arial" w:cs="Arial"/>
                <w:sz w:val="18"/>
                <w:szCs w:val="18"/>
                <w:lang/>
              </w:rPr>
              <w:lastRenderedPageBreak/>
              <w:t>considerare come attrezzature amovibili.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highlight w:val="lightGray"/>
                <w:lang/>
              </w:rPr>
              <w:t>VINCOLO PAESAGGISTICO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19"/>
        <w:rPr>
          <w:rFonts w:ascii="Arial" w:hAnsi="Arial" w:cs="Arial"/>
          <w:b/>
          <w:bCs/>
          <w:sz w:val="18"/>
          <w:szCs w:val="18"/>
          <w:lang/>
        </w:rPr>
      </w:pPr>
      <w:r>
        <w:rPr>
          <w:rFonts w:ascii="Arial" w:hAnsi="Arial" w:cs="Arial"/>
          <w:b/>
          <w:bCs/>
          <w:sz w:val="18"/>
          <w:szCs w:val="18"/>
          <w:lang/>
        </w:rPr>
        <w:t>1) ESTREMI DEL PROVVEDIMENTO MINISTERIALE O REGIONALE DI NOTEVOLE INTERESSE PUBBLICO DEL VINCOLO PER IMMOBILI O AREE DICHIARATE DI NOTEVOLE INTERESSE PUBBLICO (ART. 136-141-157 D.LGS. N. 42/2004)</w:t>
      </w:r>
    </w:p>
    <w:p w:rsidR="00894BEF" w:rsidRDefault="00894BEF" w:rsidP="00894BEF">
      <w:pPr>
        <w:autoSpaceDE w:val="0"/>
        <w:autoSpaceDN w:val="0"/>
        <w:adjustRightInd w:val="0"/>
        <w:spacing w:before="119"/>
        <w:rPr>
          <w:rFonts w:ascii="Calibri" w:hAnsi="Calibri" w:cs="Calibri"/>
          <w:lang/>
        </w:rPr>
      </w:pPr>
    </w:p>
    <w:tbl>
      <w:tblPr>
        <w:tblW w:w="0" w:type="auto"/>
        <w:tblInd w:w="72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54"/>
        <w:gridCol w:w="1660"/>
        <w:gridCol w:w="1329"/>
        <w:gridCol w:w="2582"/>
        <w:gridCol w:w="1393"/>
        <w:gridCol w:w="2314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decreto ministeriale di apposizione vincolo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numero vincolo Soprintendenza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OGGETTO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 di cui al decreto di vincolo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 ai sensi art. 136 del DLGS 42/2004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20 marzo 1956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070546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della sede stradale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Via Aurelia</w:t>
            </w:r>
            <w:r>
              <w:rPr>
                <w:rFonts w:ascii="Arial" w:hAnsi="Arial" w:cs="Arial"/>
                <w:sz w:val="16"/>
                <w:szCs w:val="16"/>
                <w:lang/>
              </w:rPr>
              <w:t>nel percorso compreso nel territorio della Provincia di La Spezia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24 aprile 1985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070557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complesso paesistico del passo di Cadibona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24 aprile 1985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070506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complesso paesistico dei boschi di Montenotte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10 settembre 1931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070559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villa con giardino e altri terreni boschivi attinenti all'ex Convento dei Padri zoccolanti di San Giacomo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*****************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Arial" w:hAnsi="Arial" w:cs="Arial"/>
                <w:sz w:val="16"/>
                <w:szCs w:val="16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lettera b)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il decreto è antecedente alla legge 1497/1939. Si procede pertanto a una classificazione per analogia con le voci dell'articolo136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  <w:lang/>
        </w:rPr>
      </w:pPr>
      <w:r>
        <w:rPr>
          <w:rFonts w:ascii="Arial" w:hAnsi="Arial" w:cs="Arial"/>
          <w:b/>
          <w:bCs/>
          <w:sz w:val="18"/>
          <w:szCs w:val="18"/>
          <w:lang/>
        </w:rPr>
        <w:t>2) PRESENZA DI AREE TUTELATE PER LEGGE (ART. 142 DEL D.LGS. N. 42/2004)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107"/>
        <w:gridCol w:w="2290"/>
        <w:gridCol w:w="4246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qualificazione vincolo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Rif lettera del comma 1 dell'art. 142 del dlgs 42/2004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definizione comma 1 dell'art. 142 del dlgs 42/2004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i territori costieri compresi in una fascia della profondità di 300 metri dalla linea di battigia, anche per i terreni elevati sul mare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c)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i fiumi, i torrenti, i corsi d'acqua iscritti negli elenchi previsti dal testo unico delle disposizioni di legge sulle acque ed impianti elettrici, approvato con </w:t>
            </w:r>
            <w:hyperlink r:id="rId28" w:history="1"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  <w:lang/>
                </w:rPr>
                <w:t xml:space="preserve">regio decreto 11 </w:t>
              </w:r>
              <w:r>
                <w:rPr>
                  <w:rFonts w:ascii="Arial" w:hAnsi="Arial" w:cs="Arial"/>
                  <w:i/>
                  <w:iCs/>
                  <w:vanish/>
                  <w:color w:val="000000"/>
                  <w:sz w:val="16"/>
                  <w:szCs w:val="16"/>
                  <w:u w:val="single"/>
                  <w:lang/>
                </w:rPr>
                <w:t>HYPERLINK "http://bd01.leggiditalia.it/cgi-bin/FulShow?TIPO=5&amp;NOTXT=1&amp;KEY=01LX0000100470"</w:t>
              </w:r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  <w:lang/>
                </w:rPr>
                <w:t>dicembre 1933, n. 1775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, e le relative sponde o piedi degli argini per una fascia di 150 metri ciascuna;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d)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e montagne per la parte eccedente 1.600 metri sul livello del mare per la catena alpina e 1.200 metri sul livello del mare per la catena appenninica e per le isole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g)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i territori coperti da foreste e da boschi, ancorchè percorsi o danneggiati dal fuoco, e quelli sottoposti a vincolo di rimboschimento, come definiti dall'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/>
              </w:rPr>
              <w:t>articolo 2, commi 2 e 6, del decreto legislativo 18 maggio 2001 n.227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m)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le zone di interesse archeologico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COMPETENZA AL RILASCIO DELL’AUTORIZZAZIONE PAESAGGISTICA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5530"/>
        <w:gridCol w:w="410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/>
              </w:rPr>
              <w:t>COMUNALE ai sensi degli articoli 6 e 9 della LR 6.6.2014 n. 13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/>
              </w:rPr>
              <w:t>NOTE E RIFERIMENTI AGLI ARTT 6 E 9  LR 13/2014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spacing w:before="10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color w:val="000000"/>
          <w:sz w:val="20"/>
          <w:szCs w:val="20"/>
          <w:lang/>
        </w:rPr>
      </w:pPr>
      <w:r>
        <w:rPr>
          <w:rFonts w:ascii="Arial" w:hAnsi="Arial" w:cs="Arial"/>
          <w:b/>
          <w:bCs/>
          <w:color w:val="000000"/>
          <w:sz w:val="20"/>
          <w:szCs w:val="20"/>
          <w:lang/>
        </w:rPr>
        <w:lastRenderedPageBreak/>
        <w:t xml:space="preserve">IL PROGETTO RISULTA CORREDATO DI :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00"/>
        <w:gridCol w:w="9343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RELAZIONE PAESAGGISTICA COMPLETA DI CUI AI PARAGRAFI 2,3 E 4 DELL’ALLEGATO AL DPCM 12.12.2005, ai sensi dell’articolo 1 dell’Accordo stipulato in data 30.07.2007 tra la Regione Liguria e il Ministero per i Beni e le Attività culturali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RELAZIONE PAESAGGISTICA IN FORMA SEMPLIFICATA DI CUI ALL’ALLEGATO AL DPCM 12.12.2005, ai sensi dell’ articolo 2 dell’Accordo stipulato in data 30.07.2007 tra la Regione Liguria e il Ministero per i Beni e le attività culturali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spacing w:before="10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00"/>
        <w:rPr>
          <w:rFonts w:ascii="Arial" w:hAnsi="Arial" w:cs="Arial"/>
          <w:b/>
          <w:bCs/>
          <w:highlight w:val="lightGray"/>
          <w:lang/>
        </w:rPr>
      </w:pPr>
      <w:r>
        <w:rPr>
          <w:rFonts w:ascii="Arial" w:hAnsi="Arial" w:cs="Arial"/>
          <w:b/>
          <w:bCs/>
          <w:highlight w:val="lightGray"/>
          <w:lang/>
        </w:rPr>
        <w:t xml:space="preserve">RAPPORTI CON LA DISCIPLINA PAESAGGISTICA 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8"/>
          <w:szCs w:val="18"/>
          <w:highlight w:val="white"/>
          <w:lang/>
        </w:rPr>
      </w:pPr>
      <w:r>
        <w:rPr>
          <w:rFonts w:ascii="Arial" w:hAnsi="Arial" w:cs="Arial"/>
          <w:b/>
          <w:bCs/>
          <w:sz w:val="18"/>
          <w:szCs w:val="18"/>
          <w:highlight w:val="white"/>
          <w:lang/>
        </w:rPr>
        <w:t>PIANO TERRITORIALE DI COORDINAMENTO PAESISTICO (PTCP)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036"/>
        <w:gridCol w:w="1692"/>
        <w:gridCol w:w="2570"/>
        <w:gridCol w:w="3345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ART NA PTCP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CONFORMITA'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INSEDIATIVO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[zone_piano_4]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green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/>
              </w:rPr>
              <w:t>(in caso di interventi di riduzione boscata) L’intervento è disciplinato dalla normativa dell’assetto vegetazionale come precisato dall’art.5 comma 3 del PTCP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L’intervento non risulta in contrasto con la disciplina dell’assetto insediativo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VEGETAZIONALE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[zone_piano_5]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Risulta prevalente la disciplina dell’assetto insediativo in quanto intervento edilizio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GEOMORFOLOGICO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[zone_piano_3]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yellow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Risulta prevalente la disciplina dell’assetto insediativo in quanto intervento edilizio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SOI PREVISTO DA PTCP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DISCIPLINA DI LIVELLO PUNTUALE DI PUC (FASCICOLO St 5_STRUTTURA DEL PIANO_NORME DI LIVELLO PUNTUALE DI PTCP)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[zone_piano_6] [zone_piano_7]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PARERE DI CONFORMITA’ DELL’INTERVENTO CON LA DISCIPLINA PAESAGGISTICA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EVENTUALI PRESCRIZIONI PROPOSTE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18"/>
          <w:szCs w:val="18"/>
          <w:lang/>
        </w:rPr>
      </w:pPr>
      <w:r>
        <w:rPr>
          <w:rFonts w:ascii="Arial" w:hAnsi="Arial" w:cs="Arial"/>
          <w:sz w:val="18"/>
          <w:szCs w:val="18"/>
          <w:lang/>
        </w:rPr>
        <w:t xml:space="preserve">DATA: </w:t>
      </w:r>
    </w:p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889"/>
        <w:gridCol w:w="4743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18"/>
                <w:szCs w:val="18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L’ISTRUTTORE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[istruttore_tecnico]</w:t>
            </w:r>
          </w:p>
        </w:tc>
        <w:tc>
          <w:tcPr>
            <w:tcW w:w="4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18"/>
                <w:szCs w:val="18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IL RESPONSABILE TECNICO DEI PROCEDIMENTI IN MATERIA PAESAGGISTICA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18"/>
                <w:szCs w:val="18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Arch.  Sandra Venturi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highlight w:val="white"/>
          <w:lang/>
        </w:rPr>
      </w:pPr>
      <w:r>
        <w:rPr>
          <w:rFonts w:ascii="Arial" w:hAnsi="Arial" w:cs="Arial"/>
          <w:b/>
          <w:bCs/>
          <w:sz w:val="40"/>
          <w:szCs w:val="40"/>
          <w:highlight w:val="white"/>
          <w:lang/>
        </w:rPr>
        <w:t>Comune di La Spezia</w:t>
      </w: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i/>
          <w:iCs/>
          <w:sz w:val="30"/>
          <w:szCs w:val="30"/>
          <w:highlight w:val="white"/>
          <w:lang/>
        </w:rPr>
      </w:pPr>
      <w:r>
        <w:rPr>
          <w:rFonts w:ascii="Arial" w:hAnsi="Arial" w:cs="Arial"/>
          <w:i/>
          <w:iCs/>
          <w:sz w:val="30"/>
          <w:szCs w:val="30"/>
          <w:highlight w:val="white"/>
          <w:lang/>
        </w:rPr>
        <w:t xml:space="preserve">Settore Pianificazione Territoriale </w:t>
      </w: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i/>
          <w:iCs/>
          <w:sz w:val="26"/>
          <w:szCs w:val="26"/>
          <w:highlight w:val="white"/>
          <w:lang/>
        </w:rPr>
      </w:pPr>
      <w:r>
        <w:rPr>
          <w:rFonts w:ascii="Arial" w:hAnsi="Arial" w:cs="Arial"/>
          <w:i/>
          <w:iCs/>
          <w:sz w:val="26"/>
          <w:szCs w:val="26"/>
          <w:highlight w:val="white"/>
          <w:lang/>
        </w:rPr>
        <w:t>Servizio Urbanistica e Paesaggio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19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VERIFICA DI CONFORMITA’ URBANISTICO–EDILIZIA AI SENSI DELL’ARTICOLO 4 COMMA 2 DEL DPR 9.7.2010 N. 139 “</w:t>
      </w:r>
      <w:r>
        <w:rPr>
          <w:rFonts w:ascii="Arial" w:hAnsi="Arial" w:cs="Arial"/>
          <w:b/>
          <w:bCs/>
          <w:i/>
          <w:iCs/>
          <w:sz w:val="20"/>
          <w:szCs w:val="20"/>
          <w:lang/>
        </w:rPr>
        <w:t>REGOLAMENTO RECANTE PROCEDIMENTO SEMPLIFICATO DI AUTORIZZAZIONE PAESAGGISTICA PER GLI INTERVENTI DI LIEVE ENTITA’, A NORMA ART. 146, COMMA 9 DEL DLGS 42/2004</w:t>
      </w:r>
      <w:r>
        <w:rPr>
          <w:rFonts w:ascii="Arial" w:hAnsi="Arial" w:cs="Arial"/>
          <w:b/>
          <w:bCs/>
          <w:sz w:val="20"/>
          <w:szCs w:val="20"/>
          <w:lang/>
        </w:rPr>
        <w:t>”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INTERVENTO: [oggetto]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UBICAZIONE : [ubicazione]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ISTANZA PERVENUTA IL [data_presentazione] PROT. DEL [protocollo]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RICHIEDENTI : [elenco_richiedenti]</w:t>
            </w:r>
          </w:p>
          <w:p w:rsidR="00894BEF" w:rsidRDefault="00894B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PROGETTISTA : [elenco_progettisti]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PIANO TERRITORIALE DI COORDINAMENTO PAESISTICO (PTCP)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INSEDIATIVO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ab/>
              <w:t xml:space="preserve">             [zone_piano_4]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GEOMORFOLOGICO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ab/>
              <w:t>[zone_piano_3]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VEGETAZIONALE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ab/>
              <w:t>[zone_piano_5]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EVENTUALI ALTRI PIANI SOVRACOMUNALI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 xml:space="preserve">PIANO URBANISTICO COMUNALE VIGENTE (approvato con Deliberazione di Consiglio Comunale n. 20 del 03.08.2010 e adeguato con successive deliberazioni di Consiglio Comunale n. 36 del 04.10.2011 e n. 5 del 26.01.2012 ai rilievi di legittimità provinciali formulati, ai sensi dell’art. 40, comma 7 della LR 36/1997, con Atti Dirigenziali rispettivamente n. 9479/2010 e n. 2011/8936) 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[zone_piano_6] [zone_piano_7]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 xml:space="preserve">STRUMENTO URBANISTICO ATTUATIVO (SUA) APPROVATO CON 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Arial" w:hAnsi="Arial" w:cs="Arial"/>
          <w:b/>
          <w:bCs/>
          <w:lang/>
        </w:rPr>
      </w:pPr>
      <w:r>
        <w:rPr>
          <w:rFonts w:ascii="Arial" w:hAnsi="Arial" w:cs="Arial"/>
          <w:b/>
          <w:bCs/>
          <w:lang/>
        </w:rPr>
        <w:t xml:space="preserve">PRESENZA DI VINCOLI </w:t>
      </w: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482"/>
        <w:gridCol w:w="9157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VINCOLO ARCHITETTONICO AI SENSI DEL D.LVO 22.01.2004 N. 42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VINCOLO PAESAGGISTICO AMBIENTALE AI SENSI DEL D.LVO 22.01.2004 N. 42 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IDROGEOLOGICO DI CUI AL R.D 30.12.1923 N. 3267 E LR 4/1999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FASCIA DI INONDABILITA’ ( PIANO DI BACINO APPROVATO CON DCP N. 17 DEL 29.3.2004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AREA A SUSCETTIVITA’ AL DISSESTO ( PIANO DI BACINO APPROVATO CON DCP N. 17 DEL29.3.2004)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PRESENZA DI CORSI D’ACQUA PUBBLICI O INDIVIDUATI SULLA CARTA RETICOLO IDROGRAFICO PRINCIPALE (PIANO DI BACINO APPROVATO CON DCP N. 17 DEL 29.3.2004) (DISTANZE ART. 8 NORMATIVA PdB)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AREA A RISCHIO DI FRANA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PRESENZA DI ELETTRODOTTI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PRESENZA DI FERROVIE, AUTOSTRADA, ALTRA INFRASTRUTTURA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AREA PERCORSA DA INCENDI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DISTANZA DA CIMITERI</w:t>
            </w:r>
          </w:p>
        </w:tc>
      </w:tr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19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ALTRO</w:t>
            </w: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 xml:space="preserve">REGOLAMENTO EDILIZIO COMUNALE 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ALTRE NORME</w:t>
            </w: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894BEF" w:rsidRDefault="00894BE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numPr>
          <w:ilvl w:val="0"/>
          <w:numId w:val="2"/>
        </w:numPr>
        <w:autoSpaceDE w:val="0"/>
        <w:autoSpaceDN w:val="0"/>
        <w:adjustRightInd w:val="0"/>
        <w:ind w:left="720" w:right="28" w:hanging="360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 xml:space="preserve">Vista l’ ATTESTAZIONE DI CONFORMITA’ URBANISTICO–EDILIZIA AI SENSI DELL’ARTICOLO 2, COMMA 1 DEL DPR 9.7.2010 N. 139 in data……..……….. a firma del progettista dell’intervento. ………………………, </w:t>
      </w:r>
    </w:p>
    <w:p w:rsidR="00894BEF" w:rsidRDefault="00894BEF" w:rsidP="00894BEF">
      <w:pPr>
        <w:autoSpaceDE w:val="0"/>
        <w:autoSpaceDN w:val="0"/>
        <w:adjustRightInd w:val="0"/>
        <w:ind w:right="28"/>
        <w:rPr>
          <w:rFonts w:ascii="Calibri" w:hAnsi="Calibri" w:cs="Calibri"/>
          <w:lang/>
        </w:rPr>
      </w:pPr>
    </w:p>
    <w:p w:rsidR="00894BEF" w:rsidRDefault="00894BEF" w:rsidP="00894BEF">
      <w:pPr>
        <w:numPr>
          <w:ilvl w:val="0"/>
          <w:numId w:val="2"/>
        </w:numPr>
        <w:autoSpaceDE w:val="0"/>
        <w:autoSpaceDN w:val="0"/>
        <w:adjustRightInd w:val="0"/>
        <w:ind w:left="720" w:right="28" w:hanging="360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verificati i contenuti della stessa</w:t>
      </w:r>
    </w:p>
    <w:p w:rsidR="00894BEF" w:rsidRDefault="00894BEF" w:rsidP="00894BEF">
      <w:pPr>
        <w:autoSpaceDE w:val="0"/>
        <w:autoSpaceDN w:val="0"/>
        <w:adjustRightInd w:val="0"/>
        <w:ind w:right="28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ind w:right="-142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SI DICHIARA VERIFICATA LA CONFORMITA’ ALLA DISCIPLINA URBANISTICA ED EDILIZIA DELL’INTERVENTO A PROGETTO</w:t>
      </w:r>
    </w:p>
    <w:p w:rsidR="00894BEF" w:rsidRDefault="00894BEF" w:rsidP="00894BEF">
      <w:pPr>
        <w:autoSpaceDE w:val="0"/>
        <w:autoSpaceDN w:val="0"/>
        <w:adjustRightInd w:val="0"/>
        <w:ind w:right="28"/>
        <w:rPr>
          <w:rFonts w:ascii="Arial" w:hAnsi="Arial" w:cs="Arial"/>
          <w:i/>
          <w:iCs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ai sensi dell’articolo 4 comma 2 del DPR 9.7.2010 n. 139 “</w:t>
      </w:r>
      <w:r>
        <w:rPr>
          <w:rFonts w:ascii="Arial" w:hAnsi="Arial" w:cs="Arial"/>
          <w:i/>
          <w:iCs/>
          <w:sz w:val="20"/>
          <w:szCs w:val="20"/>
          <w:lang/>
        </w:rPr>
        <w:t>Regolamento recante procedimento semplificato di autorizzazione paesaggistica per gli interventi di lieve entità, a norma art. 146, comma 9 del DLGS 42/2004”</w:t>
      </w:r>
    </w:p>
    <w:p w:rsidR="00894BEF" w:rsidRDefault="00894BEF" w:rsidP="00894BEF">
      <w:pPr>
        <w:autoSpaceDE w:val="0"/>
        <w:autoSpaceDN w:val="0"/>
        <w:adjustRightInd w:val="0"/>
        <w:ind w:right="28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ind w:right="28"/>
        <w:rPr>
          <w:rFonts w:ascii="Calibri" w:hAnsi="Calibri" w:cs="Calibri"/>
          <w:lang/>
        </w:rPr>
      </w:pPr>
    </w:p>
    <w:p w:rsidR="00894BEF" w:rsidRDefault="00894BEF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 xml:space="preserve">DATA: </w:t>
      </w:r>
    </w:p>
    <w:tbl>
      <w:tblPr>
        <w:tblW w:w="0" w:type="auto"/>
        <w:tblInd w:w="108" w:type="dxa"/>
        <w:tblLayout w:type="fixed"/>
        <w:tblLook w:val="0000"/>
      </w:tblPr>
      <w:tblGrid>
        <w:gridCol w:w="4889"/>
        <w:gridCol w:w="4732"/>
      </w:tblGrid>
      <w:tr w:rsidR="0089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Il Dirigente del Settore </w:t>
            </w:r>
          </w:p>
          <w:p w:rsidR="00894BEF" w:rsidRDefault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Pianificazione Territoriale </w:t>
            </w:r>
          </w:p>
          <w:p w:rsidR="00894BEF" w:rsidRDefault="00894BEF" w:rsidP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F00272" w:rsidRPr="00894BEF" w:rsidRDefault="00F00272" w:rsidP="00894BEF"/>
    <w:sectPr w:rsidR="00F00272" w:rsidRPr="00894BEF" w:rsidSect="009B365B">
      <w:headerReference w:type="default" r:id="rId29"/>
      <w:headerReference w:type="first" r:id="rId3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BA8" w:rsidRDefault="00E56BA8" w:rsidP="009B365B">
      <w:r>
        <w:separator/>
      </w:r>
    </w:p>
  </w:endnote>
  <w:endnote w:type="continuationSeparator" w:id="1">
    <w:p w:rsidR="00E56BA8" w:rsidRDefault="00E56BA8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BA8" w:rsidRDefault="00E56BA8" w:rsidP="009B365B">
      <w:r>
        <w:separator/>
      </w:r>
    </w:p>
  </w:footnote>
  <w:footnote w:type="continuationSeparator" w:id="1">
    <w:p w:rsidR="00E56BA8" w:rsidRDefault="00E56BA8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4B5A9C"/>
    <w:rsid w:val="005275D4"/>
    <w:rsid w:val="005417D7"/>
    <w:rsid w:val="005927DD"/>
    <w:rsid w:val="006220FF"/>
    <w:rsid w:val="00646EB3"/>
    <w:rsid w:val="006510B1"/>
    <w:rsid w:val="0069319E"/>
    <w:rsid w:val="006C2F4A"/>
    <w:rsid w:val="008153B2"/>
    <w:rsid w:val="00817047"/>
    <w:rsid w:val="00894BEF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56BA8"/>
    <w:rsid w:val="00E824AC"/>
    <w:rsid w:val="00F00272"/>
    <w:rsid w:val="00F42743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4B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01.leggiditalia.it/cgi-bin/FulShow?TIPO=5&amp;NOTXT=1&amp;KEY=01LX0000160228ART138" TargetMode="External"/><Relationship Id="rId13" Type="http://schemas.openxmlformats.org/officeDocument/2006/relationships/hyperlink" Target="http://bd01.leggiditalia.it/cgi-bin/FulShow?TIPO=5&amp;NOTXT=1&amp;KEY=01LX0000160228ART138" TargetMode="External"/><Relationship Id="rId18" Type="http://schemas.openxmlformats.org/officeDocument/2006/relationships/hyperlink" Target="http://bd01.leggiditalia.it/cgi-bin/FulShow?TIPO=5&amp;NOTXT=1&amp;KEY=01LX0000160228ART138" TargetMode="External"/><Relationship Id="rId26" Type="http://schemas.openxmlformats.org/officeDocument/2006/relationships/hyperlink" Target="http://bd01.leggiditalia.it/cgi-bin/FulShow?TIPO=5&amp;NOTXT=1&amp;KEY=01LX0000593981ART2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d01.leggiditalia.it/cgi-bin/FulShow?TIPO=5&amp;NOTXT=1&amp;KEY=01LX0000121695ART2" TargetMode="External"/><Relationship Id="rId7" Type="http://schemas.openxmlformats.org/officeDocument/2006/relationships/hyperlink" Target="http://bd01.leggiditalia.it/cgi-bin/FulShow?TIPO=5&amp;NOTXT=1&amp;KEY=01LX0000121695ART2" TargetMode="External"/><Relationship Id="rId12" Type="http://schemas.openxmlformats.org/officeDocument/2006/relationships/hyperlink" Target="http://bd01.leggiditalia.it/cgi-bin/FulShow?TIPO=5&amp;NOTXT=1&amp;KEY=01LX0000160228ART138" TargetMode="External"/><Relationship Id="rId17" Type="http://schemas.openxmlformats.org/officeDocument/2006/relationships/hyperlink" Target="http://bd01.leggiditalia.it/cgi-bin/FulShow?TIPO=5&amp;NOTXT=1&amp;KEY=01LX0000160228ART138" TargetMode="External"/><Relationship Id="rId25" Type="http://schemas.openxmlformats.org/officeDocument/2006/relationships/hyperlink" Target="http://bd07.leggiditalia.it/cgi-bin/FulShow?TIPO=5&amp;NOTXT=1&amp;KEY=07LX000019100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d01.leggiditalia.it/cgi-bin/FulShow?TIPO=5&amp;NOTXT=1&amp;KEY=01LX0000160228ART155" TargetMode="External"/><Relationship Id="rId20" Type="http://schemas.openxmlformats.org/officeDocument/2006/relationships/hyperlink" Target="http://bd01.leggiditalia.it/cgi-bin/FulShow?TIPO=5&amp;NOTXT=1&amp;KEY=01LX0000157574ART88+o+01LX0000157574ART258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d01.leggiditalia.it/cgi-bin/FulShow?TIPO=5&amp;NOTXT=1&amp;KEY=01LX0000160228ART138" TargetMode="External"/><Relationship Id="rId24" Type="http://schemas.openxmlformats.org/officeDocument/2006/relationships/hyperlink" Target="http://bd07.leggiditalia.it/cgi-bin/FulShow?TIPO=5&amp;NOTXT=1&amp;KEY=07LX0000302243" TargetMode="Externa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bd01.leggiditalia.it/cgi-bin/FulShow?TIPO=5&amp;NOTXT=1&amp;KEY=01LX0000160228ART138" TargetMode="External"/><Relationship Id="rId23" Type="http://schemas.openxmlformats.org/officeDocument/2006/relationships/hyperlink" Target="http://bd01.leggiditalia.it/cgi-bin/FulShow?TIPO=5&amp;NOTXT=1&amp;KEY=01LX0000607591ART0" TargetMode="External"/><Relationship Id="rId28" Type="http://schemas.openxmlformats.org/officeDocument/2006/relationships/hyperlink" Target="http://bd01.leggiditalia.it/cgi-bin/FulShow?TIPO=5&amp;NOTXT=1&amp;KEY=01LX0000100470" TargetMode="External"/><Relationship Id="rId10" Type="http://schemas.openxmlformats.org/officeDocument/2006/relationships/hyperlink" Target="http://bd01.leggiditalia.it/cgi-bin/FulShow?TIPO=5&amp;NOTXT=1&amp;KEY=01LX0000160228ART138" TargetMode="External"/><Relationship Id="rId19" Type="http://schemas.openxmlformats.org/officeDocument/2006/relationships/hyperlink" Target="http://bd01.leggiditalia.it/cgi-bin/FulShow?TIPO=5&amp;NOTXT=1&amp;KEY=01LX0000160228ART13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d01.leggiditalia.it/cgi-bin/FulShow?TIPO=5&amp;NOTXT=1&amp;KEY=01LX0000160228ART138" TargetMode="External"/><Relationship Id="rId14" Type="http://schemas.openxmlformats.org/officeDocument/2006/relationships/hyperlink" Target="http://bd01.leggiditalia.it/cgi-bin/FulShow?TIPO=5&amp;NOTXT=1&amp;KEY=01LX0000160228ART138" TargetMode="External"/><Relationship Id="rId22" Type="http://schemas.openxmlformats.org/officeDocument/2006/relationships/hyperlink" Target="http://bd01.leggiditalia.it/cgi-bin/FulShow?TIPO=5&amp;NOTXT=1&amp;KEY=01LX0000160228ART138" TargetMode="External"/><Relationship Id="rId27" Type="http://schemas.openxmlformats.org/officeDocument/2006/relationships/hyperlink" Target="http://bd01.leggiditalia.it/cgi-bin/FulShow?TIPO=5&amp;NOTXT=1&amp;KEY=01LX0000160228ART138" TargetMode="External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B1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  <w:style w:type="paragraph" w:customStyle="1" w:styleId="B93FA75A94C245439B11D699274E6D8F">
    <w:name w:val="B93FA75A94C245439B11D699274E6D8F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3127</Words>
  <Characters>17826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2015-06-04T15:18:00Z</dcterms:created>
  <dcterms:modified xsi:type="dcterms:W3CDTF">2015-06-04T15:18:00Z</dcterms:modified>
</cp:coreProperties>
</file>