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4957D8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92609D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[protocollo]</w:t>
      </w:r>
      <w:r w:rsidR="0092609D">
        <w:rPr>
          <w:sz w:val="22"/>
        </w:rPr>
        <w:fldChar w:fldCharType="end"/>
      </w:r>
      <w:r>
        <w:rPr>
          <w:sz w:val="22"/>
        </w:rPr>
        <w:t xml:space="preserve"> del </w:t>
      </w:r>
      <w:r w:rsidR="0092609D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92609D">
        <w:rPr>
          <w:sz w:val="22"/>
        </w:rPr>
        <w:fldChar w:fldCharType="end"/>
      </w:r>
    </w:p>
    <w:p w:rsidR="00BB07B2" w:rsidRPr="00B63201" w:rsidRDefault="00BB07B2">
      <w:pPr>
        <w:jc w:val="right"/>
        <w:rPr>
          <w:b/>
          <w:sz w:val="22"/>
        </w:rPr>
      </w:pPr>
      <w:proofErr w:type="spellStart"/>
      <w:r w:rsidRPr="00B63201">
        <w:rPr>
          <w:b/>
          <w:sz w:val="22"/>
        </w:rPr>
        <w:t>Prat</w:t>
      </w:r>
      <w:proofErr w:type="spellEnd"/>
      <w:r w:rsidRPr="00B63201">
        <w:rPr>
          <w:b/>
          <w:sz w:val="22"/>
        </w:rPr>
        <w:t xml:space="preserve">. n. </w:t>
      </w:r>
      <w:r w:rsidR="0092609D"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="0092609D" w:rsidRPr="00B63201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92609D"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</w:t>
      </w:r>
      <w:r w:rsidR="00B63201" w:rsidRPr="00B63201">
        <w:rPr>
          <w:b/>
          <w:sz w:val="22"/>
        </w:rPr>
        <w:t>SCIA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B07B2" w:rsidRDefault="000E14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</w:t>
      </w:r>
      <w:r w:rsidR="00B63201">
        <w:rPr>
          <w:sz w:val="22"/>
        </w:rPr>
        <w:t>a</w:t>
      </w:r>
      <w:r w:rsidR="00BB07B2">
        <w:rPr>
          <w:sz w:val="22"/>
        </w:rPr>
        <w:t xml:space="preserve"> </w:t>
      </w:r>
      <w:r w:rsidR="00FF300E">
        <w:rPr>
          <w:sz w:val="22"/>
        </w:rPr>
        <w:t>la Segnalazione Certificata di Inizio Attività</w:t>
      </w:r>
      <w:r w:rsidR="005A21A7">
        <w:rPr>
          <w:sz w:val="22"/>
        </w:rPr>
        <w:t>/Denuncia di Inizio Attività</w:t>
      </w:r>
      <w:r w:rsidR="00BB07B2">
        <w:rPr>
          <w:sz w:val="22"/>
        </w:rPr>
        <w:t xml:space="preserve"> </w:t>
      </w:r>
      <w:r w:rsidR="00B63201">
        <w:rPr>
          <w:sz w:val="22"/>
        </w:rPr>
        <w:t>depositat</w:t>
      </w:r>
      <w:r w:rsidR="00FF300E">
        <w:rPr>
          <w:sz w:val="22"/>
        </w:rPr>
        <w:t>a</w:t>
      </w:r>
      <w:r w:rsidR="00BB07B2">
        <w:rPr>
          <w:sz w:val="22"/>
        </w:rPr>
        <w:t xml:space="preserve"> in data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92609D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>presentat</w:t>
      </w:r>
      <w:r w:rsidR="00B63201">
        <w:rPr>
          <w:sz w:val="22"/>
        </w:rPr>
        <w:t>a</w:t>
      </w:r>
      <w:r w:rsidR="00302AE1">
        <w:rPr>
          <w:sz w:val="22"/>
        </w:rPr>
        <w:t xml:space="preserve"> </w:t>
      </w:r>
      <w:r w:rsidR="00BB07B2">
        <w:rPr>
          <w:sz w:val="22"/>
        </w:rPr>
        <w:t xml:space="preserve">da, </w:t>
      </w:r>
      <w:r w:rsidR="0092609D" w:rsidRPr="009324D3">
        <w:rPr>
          <w:b/>
          <w:sz w:val="22"/>
        </w:rPr>
        <w:fldChar w:fldCharType="begin"/>
      </w:r>
      <w:r w:rsidR="00BB07B2" w:rsidRPr="009324D3">
        <w:rPr>
          <w:b/>
          <w:sz w:val="22"/>
        </w:rPr>
        <w:instrText xml:space="preserve"> MERGEFIELD RICHIEDENTI </w:instrText>
      </w:r>
      <w:r w:rsidR="0092609D" w:rsidRPr="009324D3">
        <w:rPr>
          <w:b/>
          <w:sz w:val="22"/>
        </w:rPr>
        <w:fldChar w:fldCharType="separate"/>
      </w:r>
      <w:r w:rsidR="004957D8" w:rsidRPr="009324D3">
        <w:rPr>
          <w:b/>
          <w:noProof/>
          <w:sz w:val="22"/>
        </w:rPr>
        <w:t>[elenco_richiedenti]</w:t>
      </w:r>
      <w:r w:rsidR="0092609D" w:rsidRPr="009324D3">
        <w:rPr>
          <w:b/>
          <w:sz w:val="22"/>
        </w:rPr>
        <w:fldChar w:fldCharType="end"/>
      </w:r>
      <w:r w:rsidR="00BB07B2">
        <w:rPr>
          <w:sz w:val="22"/>
        </w:rPr>
        <w:t xml:space="preserve">; per l'esecuzione dei lavori di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[oggetto]</w:t>
      </w:r>
      <w:r w:rsidR="0092609D">
        <w:rPr>
          <w:sz w:val="22"/>
        </w:rPr>
        <w:fldChar w:fldCharType="end"/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[ubicazione]</w:t>
      </w:r>
      <w:r w:rsidR="0092609D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[elenco_ct]</w:t>
      </w:r>
      <w:r w:rsidR="0092609D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92609D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[elenco_cu]</w:t>
      </w:r>
      <w:r w:rsidR="0092609D">
        <w:rPr>
          <w:sz w:val="22"/>
        </w:rPr>
        <w:fldChar w:fldCharType="end"/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92609D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92609D">
        <w:rPr>
          <w:sz w:val="22"/>
        </w:rPr>
        <w:fldChar w:fldCharType="separate"/>
      </w:r>
      <w:r w:rsidR="004957D8">
        <w:rPr>
          <w:noProof/>
          <w:sz w:val="22"/>
        </w:rPr>
        <w:t>[elenco_progettisti]</w:t>
      </w:r>
      <w:r w:rsidR="0092609D">
        <w:rPr>
          <w:sz w:val="22"/>
        </w:rPr>
        <w:fldChar w:fldCharType="end"/>
      </w:r>
      <w:r w:rsidR="00302AE1">
        <w:rPr>
          <w:sz w:val="22"/>
        </w:rPr>
        <w:t>;</w:t>
      </w:r>
    </w:p>
    <w:p w:rsidR="006F752E" w:rsidRDefault="00DC53DC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30 </w:t>
      </w:r>
      <w:r w:rsidR="00A363F2">
        <w:rPr>
          <w:sz w:val="22"/>
        </w:rPr>
        <w:t xml:space="preserve">comma </w:t>
      </w:r>
      <w:r w:rsidR="001A5CEE">
        <w:rPr>
          <w:sz w:val="22"/>
        </w:rPr>
        <w:t>2</w:t>
      </w:r>
      <w:r w:rsidR="00A363F2">
        <w:rPr>
          <w:sz w:val="22"/>
        </w:rPr>
        <w:t xml:space="preserve"> </w:t>
      </w:r>
      <w:r>
        <w:rPr>
          <w:sz w:val="22"/>
        </w:rPr>
        <w:t xml:space="preserve">della Legge Regionale n. 16 del </w:t>
      </w:r>
      <w:r w:rsidR="00B216A8">
        <w:rPr>
          <w:sz w:val="22"/>
        </w:rPr>
        <w:t>6 giugno 2008 e ss. mm. e ii.</w:t>
      </w:r>
      <w:r w:rsidR="00845AB0">
        <w:rPr>
          <w:sz w:val="22"/>
        </w:rPr>
        <w:t>,</w:t>
      </w:r>
      <w:r w:rsidR="006F752E">
        <w:rPr>
          <w:sz w:val="22"/>
        </w:rPr>
        <w:t xml:space="preserve"> </w:t>
      </w:r>
      <w:r w:rsidR="00845AB0">
        <w:rPr>
          <w:sz w:val="22"/>
        </w:rPr>
        <w:t>f</w:t>
      </w:r>
      <w:r w:rsidR="00845AB0" w:rsidRPr="006F752E">
        <w:rPr>
          <w:sz w:val="22"/>
        </w:rPr>
        <w:t>erma restando l’applicazione delle sanzioni penali previste dalla legislazione statale in</w:t>
      </w:r>
      <w:r w:rsidR="00845AB0">
        <w:rPr>
          <w:sz w:val="22"/>
        </w:rPr>
        <w:t xml:space="preserve"> </w:t>
      </w:r>
      <w:r w:rsidR="00845AB0" w:rsidRPr="006F752E">
        <w:rPr>
          <w:sz w:val="22"/>
        </w:rPr>
        <w:t>materia di SCIA</w:t>
      </w:r>
      <w:r w:rsidR="001E35C6">
        <w:rPr>
          <w:sz w:val="22"/>
        </w:rPr>
        <w:t>/D.I.A.</w:t>
      </w:r>
      <w:r w:rsidR="00845AB0">
        <w:rPr>
          <w:sz w:val="22"/>
        </w:rPr>
        <w:t xml:space="preserve">, </w:t>
      </w:r>
      <w:r w:rsidR="006F752E">
        <w:rPr>
          <w:sz w:val="22"/>
        </w:rPr>
        <w:t>che dispone che</w:t>
      </w:r>
      <w:r w:rsidR="006F752E" w:rsidRPr="006F752E">
        <w:rPr>
          <w:sz w:val="22"/>
        </w:rPr>
        <w:t>, ove entro il termine di trenta giorni dalla presentazione della SCIA di cui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all’articolo 21 bis siano riscontrate falsità nei documenti allegati, violazioni della disciplina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urbanistico-edilizia o di altre normative, inesattezze non riconducibili ai casi di cui al comma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3, mancata riconducibilità delle opere all’articolo 21 bis o assenza di uno o più atti essenziali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dei quali la SCIA deve essere corredata, il responsabile dello SUE notifica al proponente, al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progettista o al direttore dei lavori entro il suddetto termine la sospensione degli effetti della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31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SCIA e il divieto di prosecuzione degli interventi, se in corso, ed eventualmente l’ordine di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ripri</w:t>
      </w:r>
      <w:r w:rsidR="00A929E1">
        <w:rPr>
          <w:sz w:val="22"/>
        </w:rPr>
        <w:t>stino degli interventi eseguiti;</w:t>
      </w:r>
    </w:p>
    <w:p w:rsidR="001A5CEE" w:rsidRDefault="001A5CEE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30 comma 7 della Legge Regionale n. 16 del 6 giugno 2008 e ss. mm. e ii.</w:t>
      </w:r>
      <w:r w:rsidR="0083562B">
        <w:rPr>
          <w:sz w:val="22"/>
        </w:rPr>
        <w:t>;</w:t>
      </w:r>
    </w:p>
    <w:p w:rsidR="0083562B" w:rsidRPr="006F752E" w:rsidRDefault="0083562B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Visti gli Artt. 21 </w:t>
      </w:r>
      <w:proofErr w:type="spellStart"/>
      <w:r>
        <w:rPr>
          <w:sz w:val="22"/>
        </w:rPr>
        <w:t>quinquies</w:t>
      </w:r>
      <w:proofErr w:type="spellEnd"/>
      <w:r>
        <w:rPr>
          <w:sz w:val="22"/>
        </w:rPr>
        <w:t xml:space="preserve"> e 21 </w:t>
      </w:r>
      <w:proofErr w:type="spellStart"/>
      <w:r>
        <w:rPr>
          <w:sz w:val="22"/>
        </w:rPr>
        <w:t>nonies</w:t>
      </w:r>
      <w:proofErr w:type="spellEnd"/>
      <w:r>
        <w:rPr>
          <w:sz w:val="22"/>
        </w:rPr>
        <w:t xml:space="preserve"> della L. 241/1990 e ss. mm. e ii.;</w:t>
      </w:r>
    </w:p>
    <w:p w:rsidR="00DC53DC" w:rsidRDefault="006832B5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 che in relazione alla pratica indicata in epigrafe, le opere indicate risultano non conformi </w:t>
      </w:r>
      <w:r w:rsidR="00C43424">
        <w:rPr>
          <w:sz w:val="22"/>
        </w:rPr>
        <w:t>e non appaiono conformabili, così come previsto dal comma 4 delle norme di cui al precedente punto;</w:t>
      </w:r>
    </w:p>
    <w:p w:rsidR="0007678B" w:rsidRDefault="0007678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Accertato </w:t>
      </w:r>
      <w:r w:rsidR="00F03DAB">
        <w:rPr>
          <w:sz w:val="22"/>
        </w:rPr>
        <w:t xml:space="preserve">sulla base della relazione tecnica del Servizio Controlli/Infrazioni, che gli interventi realizzati non sono conformi e conformabili </w:t>
      </w:r>
      <w:r w:rsidR="00314B77">
        <w:rPr>
          <w:sz w:val="22"/>
        </w:rPr>
        <w:t>agli Strumenti Urbanistici ed Edilizi vigenti e/o adottati a alla Convenzione connessa alle opere di che trattasi</w:t>
      </w:r>
      <w:r w:rsidR="003F2C9E">
        <w:rPr>
          <w:sz w:val="22"/>
        </w:rPr>
        <w:t>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107 comma 3 lett. f) e g)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BB07B2" w:rsidRDefault="00BB07B2">
      <w:pPr>
        <w:rPr>
          <w:sz w:val="22"/>
        </w:rPr>
      </w:pPr>
    </w:p>
    <w:p w:rsidR="00A10BDC" w:rsidRDefault="00287965">
      <w:pPr>
        <w:jc w:val="center"/>
        <w:rPr>
          <w:b/>
          <w:sz w:val="22"/>
        </w:rPr>
      </w:pPr>
      <w:r>
        <w:rPr>
          <w:b/>
          <w:sz w:val="22"/>
        </w:rPr>
        <w:t>DISPONE</w:t>
      </w:r>
      <w:r w:rsidR="00B34323">
        <w:rPr>
          <w:b/>
          <w:sz w:val="22"/>
        </w:rPr>
        <w:t xml:space="preserve"> LA REVOCA</w:t>
      </w:r>
    </w:p>
    <w:p w:rsidR="00BB07B2" w:rsidRDefault="00BB07B2">
      <w:pPr>
        <w:rPr>
          <w:sz w:val="22"/>
        </w:rPr>
      </w:pPr>
    </w:p>
    <w:p w:rsidR="001B1F14" w:rsidRDefault="003F2C9E">
      <w:pPr>
        <w:jc w:val="both"/>
        <w:rPr>
          <w:sz w:val="22"/>
        </w:rPr>
      </w:pPr>
      <w:r>
        <w:rPr>
          <w:sz w:val="22"/>
        </w:rPr>
        <w:t xml:space="preserve">dell’efficacia degli effetti della </w:t>
      </w:r>
      <w:r w:rsidRPr="00E154D7">
        <w:rPr>
          <w:b/>
          <w:sz w:val="22"/>
        </w:rPr>
        <w:t>SCIA</w:t>
      </w:r>
      <w:r w:rsidR="00B76A80" w:rsidRPr="00E154D7">
        <w:rPr>
          <w:b/>
          <w:sz w:val="22"/>
        </w:rPr>
        <w:t>/D.I.A.</w:t>
      </w:r>
      <w:r w:rsidRPr="00E154D7">
        <w:rPr>
          <w:b/>
          <w:sz w:val="22"/>
        </w:rPr>
        <w:t xml:space="preserve"> n. </w:t>
      </w:r>
      <w:r w:rsidR="0092609D" w:rsidRPr="00E154D7">
        <w:rPr>
          <w:b/>
          <w:sz w:val="22"/>
        </w:rPr>
        <w:fldChar w:fldCharType="begin"/>
      </w:r>
      <w:r w:rsidR="00E154D7" w:rsidRPr="00E154D7">
        <w:rPr>
          <w:b/>
          <w:sz w:val="22"/>
        </w:rPr>
        <w:instrText xml:space="preserve"> MERGEFIELD "NUMERO_PRATICA" </w:instrText>
      </w:r>
      <w:r w:rsidR="0092609D" w:rsidRPr="00E154D7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92609D" w:rsidRPr="00E154D7">
        <w:rPr>
          <w:b/>
          <w:sz w:val="22"/>
        </w:rPr>
        <w:fldChar w:fldCharType="end"/>
      </w:r>
      <w:r w:rsidR="009324D3">
        <w:rPr>
          <w:b/>
          <w:sz w:val="22"/>
        </w:rPr>
        <w:t xml:space="preserve"> </w:t>
      </w:r>
      <w:r w:rsidR="004D7597">
        <w:rPr>
          <w:sz w:val="22"/>
        </w:rPr>
        <w:t>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3C2D92" w:rsidRPr="00417A54" w:rsidRDefault="003C2D92" w:rsidP="003C2D92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D7597" w:rsidRDefault="004D7597">
      <w:pPr>
        <w:jc w:val="both"/>
        <w:rPr>
          <w:sz w:val="22"/>
        </w:rPr>
      </w:pPr>
    </w:p>
    <w:p w:rsidR="00F91A1B" w:rsidRDefault="00A10BDC">
      <w:pPr>
        <w:jc w:val="both"/>
        <w:rPr>
          <w:sz w:val="22"/>
        </w:rPr>
      </w:pPr>
      <w:r>
        <w:rPr>
          <w:sz w:val="22"/>
        </w:rPr>
        <w:t>Il divieto di prosecuzione degli interventi</w:t>
      </w:r>
      <w:r w:rsidR="00F91A1B">
        <w:rPr>
          <w:sz w:val="22"/>
        </w:rPr>
        <w:t xml:space="preserve"> di cui alla SCIA</w:t>
      </w:r>
      <w:r w:rsidR="00B76A80">
        <w:rPr>
          <w:sz w:val="22"/>
        </w:rPr>
        <w:t>/D.I.A.</w:t>
      </w:r>
      <w:r w:rsidR="00F91A1B">
        <w:rPr>
          <w:sz w:val="22"/>
        </w:rPr>
        <w:t xml:space="preserve"> se iniziat</w:t>
      </w:r>
      <w:r w:rsidR="00741E7F">
        <w:rPr>
          <w:sz w:val="22"/>
        </w:rPr>
        <w:t>i</w:t>
      </w:r>
      <w:r w:rsidR="00F91A1B">
        <w:rPr>
          <w:sz w:val="22"/>
        </w:rPr>
        <w:t xml:space="preserve"> nei tempi di legge</w:t>
      </w:r>
      <w:r w:rsidR="00417A54">
        <w:rPr>
          <w:sz w:val="22"/>
        </w:rPr>
        <w:t>;</w:t>
      </w:r>
    </w:p>
    <w:p w:rsidR="00741E7F" w:rsidRDefault="00741E7F" w:rsidP="003C2D92">
      <w:pPr>
        <w:jc w:val="center"/>
        <w:rPr>
          <w:b/>
          <w:sz w:val="22"/>
        </w:rPr>
      </w:pPr>
    </w:p>
    <w:p w:rsidR="003C2D92" w:rsidRPr="00F61C69" w:rsidRDefault="003C2D92" w:rsidP="003C2D92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741E7F" w:rsidRDefault="00741E7F" w:rsidP="00741E7F">
      <w:pPr>
        <w:jc w:val="both"/>
        <w:rPr>
          <w:sz w:val="22"/>
        </w:rPr>
      </w:pPr>
    </w:p>
    <w:p w:rsidR="00741E7F" w:rsidRDefault="008A2173" w:rsidP="00741E7F">
      <w:pPr>
        <w:jc w:val="both"/>
        <w:rPr>
          <w:sz w:val="22"/>
        </w:rPr>
      </w:pPr>
      <w:r>
        <w:rPr>
          <w:sz w:val="22"/>
        </w:rPr>
        <w:t xml:space="preserve">La rimessa in pristino dello stato dei luoghi antecedente a quello </w:t>
      </w:r>
      <w:r w:rsidR="00741E7F">
        <w:rPr>
          <w:sz w:val="22"/>
        </w:rPr>
        <w:t>delle opere indicate ovvero la non eseguibilità delle stesse, per i motivi di cui in premessa;</w:t>
      </w:r>
    </w:p>
    <w:p w:rsidR="000462F6" w:rsidRPr="00E154D7" w:rsidRDefault="000462F6" w:rsidP="000462F6">
      <w:pPr>
        <w:jc w:val="both"/>
        <w:rPr>
          <w:b/>
          <w:i/>
          <w:sz w:val="22"/>
          <w:u w:val="single"/>
        </w:rPr>
      </w:pPr>
      <w:r w:rsidRPr="00E154D7">
        <w:rPr>
          <w:b/>
          <w:i/>
          <w:sz w:val="22"/>
          <w:u w:val="single"/>
        </w:rPr>
        <w:t>ovvero di produrre quanto sopra evidenziato, al fine di superare i motivi della presente revoca;</w:t>
      </w:r>
    </w:p>
    <w:p w:rsidR="00417A54" w:rsidRDefault="00417A54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C65700" w:rsidRDefault="0092609D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"RICHIEDENTI"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«RICHIEDENTI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C65700" w:rsidRDefault="0092609D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"PROGETTISTI"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«PROGETTISTI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C65700" w:rsidRDefault="0092609D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 w:rsidR="00C65700">
        <w:rPr>
          <w:sz w:val="22"/>
        </w:rPr>
        <w:instrText xml:space="preserve"> MERGEFIELD "DIRETTORI"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«DIRETTORI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E725ED" w:rsidRDefault="0092609D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lastRenderedPageBreak/>
        <w:fldChar w:fldCharType="begin"/>
      </w:r>
      <w:r w:rsidR="00C65700">
        <w:rPr>
          <w:sz w:val="22"/>
        </w:rPr>
        <w:instrText xml:space="preserve"> MERGEFIELD "ESECUTORI"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«ESECUTORI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  <w:r w:rsidR="00B26D24">
        <w:rPr>
          <w:sz w:val="22"/>
        </w:rPr>
        <w:br/>
      </w:r>
    </w:p>
    <w:p w:rsidR="003276B1" w:rsidRDefault="003276B1">
      <w:pPr>
        <w:jc w:val="both"/>
        <w:rPr>
          <w:sz w:val="22"/>
        </w:rPr>
      </w:pPr>
      <w:r>
        <w:rPr>
          <w:sz w:val="22"/>
        </w:rPr>
        <w:t>Al Corpo di Polizia Municipale;</w:t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</w:t>
      </w:r>
      <w:r w:rsidR="00BC35C2"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</w:t>
      </w:r>
      <w:r w:rsidR="00B9030D">
        <w:rPr>
          <w:b/>
          <w:i/>
          <w:sz w:val="22"/>
          <w:szCs w:val="22"/>
        </w:rPr>
        <w:t>è</w:t>
      </w:r>
      <w:r w:rsidR="00285EAD" w:rsidRPr="00E7650F">
        <w:rPr>
          <w:b/>
          <w:i/>
          <w:sz w:val="22"/>
          <w:szCs w:val="22"/>
        </w:rPr>
        <w:t xml:space="preserve"> possibile prendere visione </w:t>
      </w:r>
      <w:r w:rsidR="00AC1A54" w:rsidRPr="00E7650F">
        <w:rPr>
          <w:b/>
          <w:i/>
          <w:sz w:val="22"/>
          <w:szCs w:val="22"/>
        </w:rPr>
        <w:t>degli atti e presentare memorie scritte e documenti presso lo Scrivente Servizio,</w:t>
      </w:r>
      <w:r w:rsidR="00B9030D">
        <w:rPr>
          <w:b/>
          <w:i/>
          <w:sz w:val="22"/>
          <w:szCs w:val="22"/>
        </w:rPr>
        <w:t xml:space="preserve"> conferire con il personale del Servizio, con l’incaricato al procedimento Dott. A. Crocetta ovvero con il coordinatore dello S.U.E. Arch. Alessandra SEGGI,</w:t>
      </w:r>
      <w:r w:rsidR="00AC1A54" w:rsidRPr="00E7650F">
        <w:rPr>
          <w:b/>
          <w:i/>
          <w:sz w:val="22"/>
          <w:szCs w:val="22"/>
        </w:rPr>
        <w:t xml:space="preserve"> nelle giornate di apertura al pubblico il </w:t>
      </w:r>
      <w:proofErr w:type="spellStart"/>
      <w:r w:rsidR="00AC1A54" w:rsidRPr="00E7650F">
        <w:rPr>
          <w:b/>
          <w:i/>
          <w:sz w:val="22"/>
          <w:szCs w:val="22"/>
        </w:rPr>
        <w:t>lunedi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A955BA">
        <w:rPr>
          <w:b/>
          <w:i/>
          <w:sz w:val="22"/>
          <w:szCs w:val="22"/>
        </w:rPr>
        <w:t>,</w:t>
      </w:r>
      <w:r w:rsidR="00AC1A54" w:rsidRPr="00E7650F">
        <w:rPr>
          <w:b/>
          <w:i/>
          <w:sz w:val="22"/>
          <w:szCs w:val="22"/>
        </w:rPr>
        <w:t xml:space="preserve"> </w:t>
      </w:r>
      <w:r w:rsidR="00A955BA">
        <w:rPr>
          <w:b/>
          <w:i/>
          <w:sz w:val="22"/>
          <w:szCs w:val="22"/>
        </w:rPr>
        <w:t xml:space="preserve">il </w:t>
      </w:r>
      <w:proofErr w:type="spellStart"/>
      <w:r w:rsidR="00A955BA">
        <w:rPr>
          <w:b/>
          <w:i/>
          <w:sz w:val="22"/>
          <w:szCs w:val="22"/>
        </w:rPr>
        <w:t>mercoledi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15:00 alle ore 17:00 e il </w:t>
      </w:r>
      <w:r w:rsidR="00A955BA">
        <w:rPr>
          <w:b/>
          <w:i/>
          <w:sz w:val="22"/>
          <w:szCs w:val="22"/>
        </w:rPr>
        <w:t>venerdi</w:t>
      </w:r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92609D">
        <w:rPr>
          <w:sz w:val="22"/>
        </w:rPr>
        <w:fldChar w:fldCharType="begin"/>
      </w:r>
      <w:r w:rsidR="00D80771">
        <w:rPr>
          <w:sz w:val="22"/>
        </w:rPr>
        <w:instrText xml:space="preserve"> TIME \@ "dd/MM/yyyy" </w:instrText>
      </w:r>
      <w:r w:rsidR="0092609D">
        <w:rPr>
          <w:sz w:val="22"/>
        </w:rPr>
        <w:fldChar w:fldCharType="separate"/>
      </w:r>
      <w:r w:rsidR="0010591A">
        <w:rPr>
          <w:noProof/>
          <w:sz w:val="22"/>
        </w:rPr>
        <w:t>30/08/2016</w:t>
      </w:r>
      <w:r w:rsidR="0092609D">
        <w:rPr>
          <w:sz w:val="22"/>
        </w:rPr>
        <w:fldChar w:fldCharType="end"/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34D0" w:rsidRPr="009C6EBE" w:rsidTr="000E0B3B">
        <w:tc>
          <w:tcPr>
            <w:tcW w:w="4889" w:type="dxa"/>
          </w:tcPr>
          <w:p w:rsidR="008834D0" w:rsidRPr="009C6EBE" w:rsidRDefault="008834D0" w:rsidP="000E0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0591A" w:rsidRPr="0010591A" w:rsidRDefault="0010591A" w:rsidP="001059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591A">
              <w:rPr>
                <w:rFonts w:ascii="Arial" w:hAnsi="Arial" w:cs="Arial"/>
                <w:sz w:val="22"/>
                <w:szCs w:val="22"/>
              </w:rPr>
              <w:t>IL RESPONSABILE DELLO SUE</w:t>
            </w:r>
          </w:p>
          <w:p w:rsidR="008834D0" w:rsidRDefault="0010591A" w:rsidP="0010591A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8834D0"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22BAA" w:rsidRPr="009C6EBE" w:rsidRDefault="00122BAA" w:rsidP="000E0B3B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BB07B2" w:rsidRDefault="00BB07B2"/>
    <w:sectPr w:rsidR="00BB07B2" w:rsidSect="0092609D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4957D8"/>
    <w:rsid w:val="000462F6"/>
    <w:rsid w:val="0007678B"/>
    <w:rsid w:val="000C6398"/>
    <w:rsid w:val="000C6616"/>
    <w:rsid w:val="000E1481"/>
    <w:rsid w:val="0010591A"/>
    <w:rsid w:val="00122BAA"/>
    <w:rsid w:val="00162473"/>
    <w:rsid w:val="001A5CEE"/>
    <w:rsid w:val="001B1F14"/>
    <w:rsid w:val="001E35C6"/>
    <w:rsid w:val="00240667"/>
    <w:rsid w:val="00285EAD"/>
    <w:rsid w:val="00287965"/>
    <w:rsid w:val="002A11C0"/>
    <w:rsid w:val="002D54D6"/>
    <w:rsid w:val="00302AE1"/>
    <w:rsid w:val="00314B77"/>
    <w:rsid w:val="003276B1"/>
    <w:rsid w:val="00370C72"/>
    <w:rsid w:val="00387EB6"/>
    <w:rsid w:val="003C2D92"/>
    <w:rsid w:val="003D34D8"/>
    <w:rsid w:val="003F2C9E"/>
    <w:rsid w:val="00417A54"/>
    <w:rsid w:val="004957D8"/>
    <w:rsid w:val="004D7597"/>
    <w:rsid w:val="004F72C4"/>
    <w:rsid w:val="00512E60"/>
    <w:rsid w:val="005A21A7"/>
    <w:rsid w:val="00620D42"/>
    <w:rsid w:val="00653969"/>
    <w:rsid w:val="006832B5"/>
    <w:rsid w:val="006F752E"/>
    <w:rsid w:val="00741E7F"/>
    <w:rsid w:val="007702CD"/>
    <w:rsid w:val="0077577E"/>
    <w:rsid w:val="00776552"/>
    <w:rsid w:val="0083562B"/>
    <w:rsid w:val="00845AB0"/>
    <w:rsid w:val="008834D0"/>
    <w:rsid w:val="008A2173"/>
    <w:rsid w:val="0092609D"/>
    <w:rsid w:val="009324D3"/>
    <w:rsid w:val="00981BF1"/>
    <w:rsid w:val="00A10BDC"/>
    <w:rsid w:val="00A363F2"/>
    <w:rsid w:val="00A929E1"/>
    <w:rsid w:val="00A955BA"/>
    <w:rsid w:val="00AC1A54"/>
    <w:rsid w:val="00B216A8"/>
    <w:rsid w:val="00B26D24"/>
    <w:rsid w:val="00B34323"/>
    <w:rsid w:val="00B5614B"/>
    <w:rsid w:val="00B63201"/>
    <w:rsid w:val="00B76A80"/>
    <w:rsid w:val="00B9030D"/>
    <w:rsid w:val="00BB07B2"/>
    <w:rsid w:val="00BB591F"/>
    <w:rsid w:val="00BC35C2"/>
    <w:rsid w:val="00C25389"/>
    <w:rsid w:val="00C43424"/>
    <w:rsid w:val="00C65700"/>
    <w:rsid w:val="00CA4EA7"/>
    <w:rsid w:val="00D00AC8"/>
    <w:rsid w:val="00D025DD"/>
    <w:rsid w:val="00D40D60"/>
    <w:rsid w:val="00D67F8E"/>
    <w:rsid w:val="00D80771"/>
    <w:rsid w:val="00DC3008"/>
    <w:rsid w:val="00DC53DC"/>
    <w:rsid w:val="00DD18DF"/>
    <w:rsid w:val="00DD793C"/>
    <w:rsid w:val="00E154D7"/>
    <w:rsid w:val="00E237ED"/>
    <w:rsid w:val="00E61F2C"/>
    <w:rsid w:val="00E725ED"/>
    <w:rsid w:val="00E74B1C"/>
    <w:rsid w:val="00E7650F"/>
    <w:rsid w:val="00EB6B04"/>
    <w:rsid w:val="00F03DAB"/>
    <w:rsid w:val="00F12618"/>
    <w:rsid w:val="00F5046B"/>
    <w:rsid w:val="00F61C69"/>
    <w:rsid w:val="00F91A1B"/>
    <w:rsid w:val="00FB723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260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0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2013-06-11T09:04:00Z</cp:lastPrinted>
  <dcterms:created xsi:type="dcterms:W3CDTF">2016-08-30T10:10:00Z</dcterms:created>
  <dcterms:modified xsi:type="dcterms:W3CDTF">2016-08-30T10:10:00Z</dcterms:modified>
</cp:coreProperties>
</file>