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6345CE">
      <w:pPr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SETTORE </w:t>
      </w:r>
      <w:r w:rsidR="000738F3"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="000738F3"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6345CE" w:rsidRPr="00863261" w:rsidRDefault="006345CE" w:rsidP="006345CE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Vista l'istanza di Permesso di Costruire presentata in data 13/03/2017, </w:t>
      </w:r>
      <w:proofErr w:type="spellStart"/>
      <w:r w:rsidRPr="00863261">
        <w:rPr>
          <w:rFonts w:ascii="Century Gothic" w:hAnsi="Century Gothic"/>
          <w:sz w:val="22"/>
        </w:rPr>
        <w:t>prot</w:t>
      </w:r>
      <w:proofErr w:type="spellEnd"/>
      <w:r w:rsidRPr="00863261">
        <w:rPr>
          <w:rFonts w:ascii="Century Gothic" w:hAnsi="Century Gothic"/>
          <w:sz w:val="22"/>
        </w:rPr>
        <w:t xml:space="preserve">. 19048 allo S.U.A.P. del Comune dal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richiedenti.titolo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, dell’attività commerciale denominata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elenco_richiedenti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 PEC: [</w:t>
      </w:r>
      <w:proofErr w:type="spellStart"/>
      <w:r w:rsidRPr="00863261">
        <w:rPr>
          <w:rFonts w:ascii="Century Gothic" w:hAnsi="Century Gothic"/>
          <w:sz w:val="22"/>
        </w:rPr>
        <w:t>richiedente.pec</w:t>
      </w:r>
      <w:proofErr w:type="spellEnd"/>
      <w:r w:rsidRPr="00863261">
        <w:rPr>
          <w:rFonts w:ascii="Century Gothic" w:hAnsi="Century Gothic"/>
          <w:sz w:val="22"/>
        </w:rPr>
        <w:t xml:space="preserve">] per </w:t>
      </w:r>
      <w:r w:rsidR="001F38AD">
        <w:rPr>
          <w:rFonts w:ascii="Century Gothic" w:hAnsi="Century Gothic"/>
          <w:b/>
          <w:sz w:val="22"/>
        </w:rPr>
        <w:t>[oggetto]</w:t>
      </w:r>
      <w:r w:rsidR="001F38AD" w:rsidRPr="00863261">
        <w:rPr>
          <w:rFonts w:ascii="Century Gothic" w:hAnsi="Century Gothic"/>
          <w:sz w:val="22"/>
        </w:rPr>
        <w:t xml:space="preserve"> </w:t>
      </w:r>
      <w:r w:rsidRPr="00863261">
        <w:rPr>
          <w:rFonts w:ascii="Century Gothic" w:hAnsi="Century Gothic"/>
          <w:sz w:val="22"/>
        </w:rPr>
        <w:t xml:space="preserve">a servizio del predetto esercizio, ubicato in </w:t>
      </w:r>
      <w:r w:rsidRPr="00863261">
        <w:rPr>
          <w:rFonts w:ascii="Century Gothic" w:hAnsi="Century Gothic"/>
          <w:b/>
          <w:sz w:val="22"/>
        </w:rPr>
        <w:t>[ubicazione], Sanremo 18038 (IM)</w:t>
      </w:r>
      <w:r w:rsidRPr="00863261">
        <w:rPr>
          <w:rFonts w:ascii="Century Gothic" w:hAnsi="Century Gothic"/>
          <w:sz w:val="22"/>
        </w:rPr>
        <w:t xml:space="preserve"> sull'area identificata catastalmente al N.C.T. come segue </w:t>
      </w:r>
      <w:r w:rsidRPr="00863261">
        <w:rPr>
          <w:rFonts w:ascii="Century Gothic" w:hAnsi="Century Gothic"/>
          <w:sz w:val="22"/>
          <w:szCs w:val="22"/>
        </w:rPr>
        <w:t>[</w:t>
      </w:r>
      <w:proofErr w:type="spellStart"/>
      <w:r w:rsidRPr="00863261">
        <w:rPr>
          <w:rFonts w:ascii="Century Gothic" w:hAnsi="Century Gothic"/>
          <w:sz w:val="22"/>
          <w:szCs w:val="22"/>
        </w:rPr>
        <w:t>elenco_ct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b/>
          <w:sz w:val="22"/>
          <w:szCs w:val="22"/>
          <w:u w:val="single"/>
        </w:rPr>
        <w:t>per un periodo di ____________ anni</w:t>
      </w:r>
      <w:r w:rsidRPr="00863261">
        <w:rPr>
          <w:rFonts w:ascii="Century Gothic" w:hAnsi="Century Gothic"/>
          <w:sz w:val="22"/>
          <w:szCs w:val="22"/>
        </w:rPr>
        <w:t xml:space="preserve"> dalla data del rilascio / </w:t>
      </w:r>
      <w:r w:rsidRPr="00863261">
        <w:rPr>
          <w:rFonts w:ascii="Century Gothic" w:hAnsi="Century Gothic"/>
          <w:b/>
          <w:sz w:val="22"/>
          <w:szCs w:val="22"/>
        </w:rPr>
        <w:t>dal __/__/2017 al __/__/2017</w:t>
      </w:r>
      <w:r w:rsidRPr="00863261">
        <w:rPr>
          <w:rFonts w:ascii="Century Gothic" w:hAnsi="Century Gothic"/>
          <w:sz w:val="22"/>
        </w:rPr>
        <w:t>;</w:t>
      </w:r>
    </w:p>
    <w:p w:rsidR="006345CE" w:rsidRPr="00863261" w:rsidRDefault="006345CE" w:rsidP="006345CE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Visto il progetto redatto da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elenco_progettisti_completo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, </w:t>
      </w:r>
      <w:r w:rsidRPr="00863261"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</w:t>
      </w:r>
      <w:proofErr w:type="spellEnd"/>
      <w:r w:rsidRPr="00863261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progettisti.alboprov</w:t>
      </w:r>
      <w:proofErr w:type="spellEnd"/>
      <w:r w:rsidRPr="00863261">
        <w:rPr>
          <w:rFonts w:ascii="Century Gothic" w:hAnsi="Century Gothic"/>
          <w:sz w:val="22"/>
          <w:szCs w:val="22"/>
        </w:rPr>
        <w:t>] al n.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progettisti.albonumero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sz w:val="22"/>
        </w:rPr>
        <w:t>costituito dai seguenti elaborati:</w:t>
      </w:r>
    </w:p>
    <w:p w:rsidR="006345CE" w:rsidRPr="006C7B05" w:rsidRDefault="006345CE" w:rsidP="006345CE">
      <w:pPr>
        <w:pStyle w:val="Paragrafoelenco"/>
        <w:numPr>
          <w:ilvl w:val="0"/>
          <w:numId w:val="23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6345CE" w:rsidRPr="006C7B05" w:rsidRDefault="006345CE" w:rsidP="006345CE">
      <w:pPr>
        <w:pStyle w:val="Paragrafoelenco"/>
        <w:numPr>
          <w:ilvl w:val="0"/>
          <w:numId w:val="23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6345CE" w:rsidRPr="00863261" w:rsidRDefault="006345CE" w:rsidP="006345CE">
      <w:pPr>
        <w:pStyle w:val="Paragrafoelenco"/>
        <w:numPr>
          <w:ilvl w:val="0"/>
          <w:numId w:val="23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6345CE" w:rsidRPr="00863261" w:rsidRDefault="006345CE" w:rsidP="006345CE">
      <w:p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863261">
        <w:rPr>
          <w:rFonts w:ascii="Century Gothic" w:hAnsi="Century Gothic"/>
          <w:i/>
          <w:color w:val="FF0000"/>
          <w:sz w:val="22"/>
          <w:szCs w:val="22"/>
          <w:u w:val="single"/>
        </w:rPr>
        <w:t>oppure</w:t>
      </w:r>
    </w:p>
    <w:p w:rsidR="006345CE" w:rsidRPr="00863261" w:rsidRDefault="006345CE" w:rsidP="006345CE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6345CE" w:rsidRPr="00863261" w:rsidRDefault="006345CE" w:rsidP="006345CE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</w:rPr>
      </w:pPr>
      <w:r w:rsidRPr="00863261">
        <w:rPr>
          <w:rFonts w:ascii="Century Gothic" w:hAnsi="Century Gothic"/>
          <w:sz w:val="22"/>
        </w:rPr>
        <w:t xml:space="preserve">Vista la contestuale istanza di occupazione suolo pubblico </w:t>
      </w:r>
      <w:r w:rsidR="000C46ED" w:rsidRPr="000C46ED">
        <w:rPr>
          <w:rFonts w:ascii="Century Gothic" w:hAnsi="Century Gothic"/>
          <w:color w:val="FF0000"/>
          <w:sz w:val="22"/>
        </w:rPr>
        <w:t>stagionale/</w:t>
      </w:r>
      <w:r w:rsidRPr="000C46ED">
        <w:rPr>
          <w:rFonts w:ascii="Century Gothic" w:hAnsi="Century Gothic"/>
          <w:color w:val="FF0000"/>
          <w:sz w:val="22"/>
        </w:rPr>
        <w:t xml:space="preserve">permanente </w:t>
      </w:r>
      <w:r w:rsidRPr="00863261">
        <w:rPr>
          <w:rFonts w:ascii="Century Gothic" w:hAnsi="Century Gothic"/>
          <w:sz w:val="22"/>
        </w:rPr>
        <w:t xml:space="preserve">di </w:t>
      </w:r>
      <w:r w:rsidRPr="00863261">
        <w:rPr>
          <w:rFonts w:ascii="Century Gothic" w:hAnsi="Century Gothic"/>
          <w:b/>
          <w:sz w:val="22"/>
        </w:rPr>
        <w:t>mq _______ (m. _____x _____);</w:t>
      </w:r>
    </w:p>
    <w:p w:rsidR="006345CE" w:rsidRPr="00863261" w:rsidRDefault="006345CE" w:rsidP="006345CE">
      <w:pPr>
        <w:spacing w:before="120" w:after="120"/>
        <w:jc w:val="both"/>
        <w:rPr>
          <w:rFonts w:ascii="Century Gothic" w:hAnsi="Century Gothic"/>
          <w:b/>
          <w:sz w:val="22"/>
          <w:szCs w:val="22"/>
        </w:rPr>
      </w:pPr>
      <w:bookmarkStart w:id="0" w:name="_GoBack"/>
      <w:bookmarkEnd w:id="0"/>
      <w:r w:rsidRPr="00863261">
        <w:rPr>
          <w:rFonts w:ascii="Century Gothic" w:hAnsi="Century Gothic"/>
          <w:i/>
          <w:color w:val="FF0000"/>
          <w:sz w:val="22"/>
          <w:szCs w:val="22"/>
          <w:u w:val="single"/>
        </w:rPr>
        <w:t>oppure</w:t>
      </w:r>
    </w:p>
    <w:p w:rsidR="00D97613" w:rsidRDefault="00D97613" w:rsidP="00D97613">
      <w:pPr>
        <w:pStyle w:val="Paragrafoelenco"/>
        <w:numPr>
          <w:ilvl w:val="0"/>
          <w:numId w:val="9"/>
        </w:numPr>
        <w:suppressAutoHyphens/>
        <w:spacing w:before="120" w:after="120"/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Visto il parere prescrittivo rilasciato in data [pareri_1.data_rilascio;block=</w:t>
      </w:r>
      <w:proofErr w:type="spellStart"/>
      <w:r>
        <w:rPr>
          <w:rFonts w:ascii="Century Gothic" w:hAnsi="Century Gothic"/>
          <w:b/>
          <w:sz w:val="22"/>
          <w:szCs w:val="22"/>
        </w:rPr>
        <w:t>tbs:listitem</w:t>
      </w:r>
      <w:proofErr w:type="spellEnd"/>
      <w:r>
        <w:rPr>
          <w:rFonts w:ascii="Century Gothic" w:hAnsi="Century Gothic"/>
          <w:b/>
          <w:sz w:val="22"/>
          <w:szCs w:val="22"/>
        </w:rPr>
        <w:t>] da [pareri_1.ente] che si richiama integralmente: “[pareri_1.prescrizioni]”;</w:t>
      </w:r>
    </w:p>
    <w:p w:rsidR="008175A2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451843" w:rsidRPr="00451843">
        <w:rPr>
          <w:rFonts w:ascii="Century Gothic" w:hAnsi="Century Gothic"/>
          <w:b/>
          <w:color w:val="FF0000"/>
          <w:sz w:val="22"/>
        </w:rPr>
        <w:t>[oggetto]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Default="00FF3E1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lastRenderedPageBreak/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A572D9" w:rsidRPr="00CC5D46" w:rsidRDefault="00A572D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Visto il “</w:t>
      </w:r>
      <w:r w:rsidRPr="00A572D9">
        <w:rPr>
          <w:rFonts w:ascii="Century Gothic" w:hAnsi="Century Gothic"/>
          <w:i/>
          <w:sz w:val="22"/>
          <w:szCs w:val="22"/>
        </w:rPr>
        <w:t>Piano Particolareggiato d’Ambito per la regolamentazione delle occupazioni di suolo pubblico in Piazza bresca, Piazza Sardi e Via Gaudio</w:t>
      </w:r>
      <w:r>
        <w:rPr>
          <w:rFonts w:ascii="Century Gothic" w:hAnsi="Century Gothic"/>
          <w:sz w:val="22"/>
          <w:szCs w:val="22"/>
        </w:rPr>
        <w:t>”, approvato con Deliberazione di Giunta Comunale n.° 7 del 27/01/2017;</w:t>
      </w:r>
    </w:p>
    <w:p w:rsidR="006101E0" w:rsidRPr="00CC5D46" w:rsidRDefault="006101E0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 w:rsidRPr="00CC5D46">
        <w:rPr>
          <w:rFonts w:ascii="Century Gothic" w:hAnsi="Century Gothic"/>
          <w:b/>
          <w:sz w:val="22"/>
          <w:szCs w:val="22"/>
        </w:rPr>
        <w:t xml:space="preserve">Visto il parere prescrittivo rilasciato in data </w:t>
      </w:r>
      <w:r w:rsidR="00CC5D46" w:rsidRPr="00CC5D46">
        <w:rPr>
          <w:rFonts w:ascii="Century Gothic" w:hAnsi="Century Gothic"/>
          <w:b/>
          <w:i/>
          <w:sz w:val="22"/>
          <w:szCs w:val="22"/>
          <w:highlight w:val="yellow"/>
        </w:rPr>
        <w:t>__________</w:t>
      </w:r>
      <w:r w:rsidRPr="00CC5D46">
        <w:rPr>
          <w:rFonts w:ascii="Century Gothic" w:hAnsi="Century Gothic"/>
          <w:b/>
          <w:sz w:val="22"/>
          <w:szCs w:val="22"/>
        </w:rPr>
        <w:t xml:space="preserve"> dal Servizio Difesa del Suolo che </w:t>
      </w:r>
      <w:r w:rsidR="00763E3E">
        <w:rPr>
          <w:rFonts w:ascii="Century Gothic" w:hAnsi="Century Gothic"/>
          <w:b/>
          <w:sz w:val="22"/>
          <w:szCs w:val="22"/>
        </w:rPr>
        <w:t>si richiama integralmente;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185D45" w:rsidRPr="006A100B" w:rsidRDefault="00185D45" w:rsidP="00185D45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FF3E19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A92CA9" w:rsidRPr="00DE3F44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DE3F44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6101E0" w:rsidRPr="00DE3F44">
        <w:rPr>
          <w:rFonts w:ascii="Century Gothic" w:hAnsi="Century Gothic"/>
          <w:sz w:val="22"/>
          <w:szCs w:val="22"/>
          <w:highlight w:val="yellow"/>
        </w:rPr>
        <w:t>dalla data del rilascio</w:t>
      </w:r>
      <w:r w:rsidR="00763E3E" w:rsidRPr="00DE3F44">
        <w:rPr>
          <w:rFonts w:ascii="Century Gothic" w:hAnsi="Century Gothic"/>
          <w:sz w:val="22"/>
          <w:szCs w:val="22"/>
          <w:highlight w:val="yellow"/>
        </w:rPr>
        <w:t xml:space="preserve"> / </w:t>
      </w:r>
      <w:r w:rsidR="00763E3E" w:rsidRPr="00DE3F44">
        <w:rPr>
          <w:rFonts w:ascii="Century Gothic" w:hAnsi="Century Gothic"/>
          <w:b/>
          <w:sz w:val="22"/>
          <w:szCs w:val="22"/>
          <w:highlight w:val="yellow"/>
        </w:rPr>
        <w:t>dal __/__/2017 al __/__/2017</w:t>
      </w:r>
      <w:r w:rsidR="00DE3F44" w:rsidRPr="00DE3F44">
        <w:rPr>
          <w:rFonts w:ascii="Century Gothic" w:hAnsi="Century Gothic"/>
          <w:b/>
          <w:sz w:val="22"/>
          <w:szCs w:val="22"/>
          <w:highlight w:val="yellow"/>
        </w:rPr>
        <w:t xml:space="preserve"> / </w:t>
      </w:r>
      <w:r w:rsidR="00DE3F44" w:rsidRPr="00DE3F44">
        <w:rPr>
          <w:rFonts w:ascii="Century Gothic" w:hAnsi="Century Gothic"/>
          <w:b/>
          <w:i/>
          <w:sz w:val="22"/>
          <w:szCs w:val="22"/>
          <w:highlight w:val="yellow"/>
        </w:rPr>
        <w:t>dalla data di sottoscrizione da parte del Dirigente al __/__/2017</w:t>
      </w:r>
      <w:r w:rsidR="00451843">
        <w:rPr>
          <w:rFonts w:ascii="Century Gothic" w:hAnsi="Century Gothic"/>
          <w:sz w:val="22"/>
          <w:szCs w:val="22"/>
        </w:rPr>
        <w:t>, con le seguenti prescrizioni:</w:t>
      </w:r>
    </w:p>
    <w:p w:rsidR="00451843" w:rsidRDefault="00451843" w:rsidP="00AB7432">
      <w:pPr>
        <w:jc w:val="both"/>
        <w:rPr>
          <w:rFonts w:ascii="Century Gothic" w:hAnsi="Century Gothic"/>
          <w:sz w:val="22"/>
          <w:szCs w:val="22"/>
        </w:rPr>
      </w:pP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la struttura rispetti gli ingombri e le misure indicate in progetto;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l'occupazione non dovrà intralciare il transito pedonale e dovrà essere collocata solo dopo il posizionamento delle transenne da parte delle forze dell'ordine o del personale autorizzato;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nel caso in cui l'area interessata dall'occupazione dovesse essere utilizzata per motivi di pubblico interesse, l'autorizzazione potrà essere immediatamente revocata senza che l'intestatario possa avanzare pretese di sorta;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 xml:space="preserve">l'occupazione non dovrà intralciare il transito pedonale e veicolare, garantendo l'area del marciapiede antistante il </w:t>
      </w:r>
      <w:proofErr w:type="spellStart"/>
      <w:r w:rsidRPr="00873818">
        <w:rPr>
          <w:rFonts w:ascii="Century Gothic" w:hAnsi="Century Gothic"/>
          <w:i/>
          <w:color w:val="FF0000"/>
          <w:sz w:val="22"/>
        </w:rPr>
        <w:t>dehors</w:t>
      </w:r>
      <w:proofErr w:type="spellEnd"/>
      <w:r w:rsidRPr="00873818">
        <w:rPr>
          <w:rFonts w:ascii="Century Gothic" w:hAnsi="Century Gothic"/>
          <w:i/>
          <w:color w:val="FF0000"/>
          <w:sz w:val="22"/>
        </w:rPr>
        <w:t>, libero da qualsiasi ingombro;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dovranno essere adottati tutti gli accorgimenti necessari ad evitare danni a persone e/o cose;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l'occupazione dovrà essere posizionata sulla carreggiata, così come da planimetria allegata;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la struttura dovrà rispettare gli ingombri e le misure indicate in progetto, in particolare la stessa dovrà essere contenuta nella proiezione del pubblico esercizio;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 xml:space="preserve">l'occupazione con </w:t>
      </w:r>
      <w:proofErr w:type="spellStart"/>
      <w:r w:rsidRPr="00873818">
        <w:rPr>
          <w:rFonts w:ascii="Century Gothic" w:hAnsi="Century Gothic"/>
          <w:i/>
          <w:color w:val="FF0000"/>
          <w:sz w:val="22"/>
        </w:rPr>
        <w:t>dehors</w:t>
      </w:r>
      <w:proofErr w:type="spellEnd"/>
      <w:r w:rsidRPr="00873818">
        <w:rPr>
          <w:rFonts w:ascii="Century Gothic" w:hAnsi="Century Gothic"/>
          <w:i/>
          <w:color w:val="FF0000"/>
          <w:sz w:val="22"/>
        </w:rPr>
        <w:t xml:space="preserve"> non deve costituire impedimento al funzionamento, utilizzo e manutenzione di reti tecniche o elementi di servizio (es. chiusini, griglie, caditoie, idranti, quadri di controllo, misuratori dei servizi erogati, segnaletica verticale e orizzontale, toponomastica, illuminazione, ecc.);</w:t>
      </w:r>
    </w:p>
    <w:p w:rsidR="00451843" w:rsidRPr="00873818" w:rsidRDefault="00451843" w:rsidP="00451843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nel caso in cui l'area interessata dall'occupazione dovesse essere utilizzata per motivi di pubblico interesse, l'autorizzazione potrà essere immediatamente revocata senza che l'intestatario possa avanzare pretese di sorta;</w:t>
      </w:r>
    </w:p>
    <w:p w:rsidR="00451843" w:rsidRPr="00451843" w:rsidRDefault="00451843" w:rsidP="00AB7432">
      <w:pPr>
        <w:pStyle w:val="Paragrafoelenco"/>
        <w:numPr>
          <w:ilvl w:val="0"/>
          <w:numId w:val="24"/>
        </w:numPr>
        <w:ind w:left="1276" w:hanging="425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durante i periodi delle manifestazioni, l'occupazione dovrà essere rimossa tempestivamente, previa comunicazione ed eventuali prescrizioni impartite dagli Uffici comunali competenti.</w:t>
      </w:r>
    </w:p>
    <w:p w:rsidR="00334615" w:rsidRPr="00F13496" w:rsidRDefault="00334615" w:rsidP="007D6D58">
      <w:pPr>
        <w:spacing w:before="120" w:after="120"/>
        <w:jc w:val="both"/>
        <w:rPr>
          <w:rFonts w:ascii="Century Gothic" w:hAnsi="Century Gothic"/>
          <w:sz w:val="22"/>
          <w:szCs w:val="22"/>
          <w:u w:val="single"/>
        </w:rPr>
      </w:pPr>
      <w:r w:rsidRPr="00F13496">
        <w:rPr>
          <w:rFonts w:ascii="Century Gothic" w:hAnsi="Century Gothic"/>
          <w:sz w:val="22"/>
          <w:szCs w:val="22"/>
          <w:u w:val="single"/>
        </w:rPr>
        <w:t>L’Autorizzazione si</w:t>
      </w:r>
      <w:r w:rsidR="00544064" w:rsidRPr="00F13496">
        <w:rPr>
          <w:rFonts w:ascii="Century Gothic" w:hAnsi="Century Gothic"/>
          <w:sz w:val="22"/>
          <w:szCs w:val="22"/>
          <w:u w:val="single"/>
        </w:rPr>
        <w:t xml:space="preserve"> intende rilasciata alle seguenti condizioni:</w:t>
      </w:r>
    </w:p>
    <w:p w:rsidR="00F13496" w:rsidRPr="00F13496" w:rsidRDefault="00F13496" w:rsidP="00F13496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 w:rsidRPr="00F13496">
        <w:rPr>
          <w:rFonts w:ascii="Century Gothic" w:hAnsi="Century Gothic"/>
          <w:b/>
          <w:sz w:val="22"/>
          <w:szCs w:val="22"/>
        </w:rPr>
        <w:lastRenderedPageBreak/>
        <w:t>L’area occupata dovrà essere individuata mediante la collocazione delle idonee “borchie” metalliche fornite dall’Ufficio Servizio Manutenzione Immobili e Progettazione</w:t>
      </w:r>
      <w:r>
        <w:rPr>
          <w:rFonts w:ascii="Century Gothic" w:hAnsi="Century Gothic"/>
          <w:b/>
          <w:sz w:val="22"/>
          <w:szCs w:val="22"/>
        </w:rPr>
        <w:t>, nelle modalità dallo sesso stabilite ed a cura del richiedente;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CC5D46" w:rsidRPr="00CC5D46" w:rsidRDefault="00CC5D46" w:rsidP="00763E3E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Dovranno essere osservate le prescrizioni contenute nella nota del Servizio Difesa del Suolo del ___________________, </w:t>
      </w:r>
      <w:r w:rsidR="009808E4">
        <w:rPr>
          <w:rFonts w:ascii="Century Gothic" w:hAnsi="Century Gothic"/>
          <w:b/>
          <w:sz w:val="22"/>
          <w:szCs w:val="22"/>
        </w:rPr>
        <w:t>allegata in copia quale parte integrante del presente titolo e che si richiama integralmente</w:t>
      </w:r>
      <w:r w:rsidR="00763E3E">
        <w:rPr>
          <w:rFonts w:ascii="Century Gothic" w:hAnsi="Century Gothic"/>
          <w:b/>
          <w:sz w:val="22"/>
          <w:szCs w:val="22"/>
        </w:rPr>
        <w:t>;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F13496" w:rsidRDefault="00143423" w:rsidP="00D66177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F13496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ha validità cinque anni dalla data del </w:t>
      </w:r>
      <w:r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rilascio</w:t>
      </w:r>
      <w:r w:rsidR="00D66177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 ed </w:t>
      </w:r>
      <w:r w:rsidR="00F13496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è automaticamente rinnovata per l’anno successivo</w:t>
      </w:r>
      <w:r w:rsidR="00F13496" w:rsidRPr="00D66177">
        <w:rPr>
          <w:rFonts w:ascii="Century Gothic" w:hAnsi="Century Gothic"/>
          <w:i/>
          <w:color w:val="FF0000"/>
          <w:sz w:val="22"/>
          <w:szCs w:val="22"/>
        </w:rPr>
        <w:t xml:space="preserve">, qualora non venga comunicata disdetta, mediante PEC, </w:t>
      </w:r>
      <w:r w:rsidR="00F13496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entro il 30 novembre dell’anno in corso</w:t>
      </w:r>
      <w:r w:rsidR="00F13496" w:rsidRPr="00D66177">
        <w:rPr>
          <w:rFonts w:ascii="Century Gothic" w:hAnsi="Century Gothic"/>
          <w:i/>
          <w:color w:val="FF0000"/>
          <w:sz w:val="22"/>
          <w:szCs w:val="22"/>
        </w:rPr>
        <w:t>;</w:t>
      </w:r>
    </w:p>
    <w:p w:rsidR="003A6A25" w:rsidRDefault="003A6A25" w:rsidP="003A6A25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3A6A25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10131E" w:rsidRPr="0010131E" w:rsidRDefault="003A6A25" w:rsidP="0010131E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ha validità 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dalla data di sottoscrizione da parte del Dirigente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 xml:space="preserve"> 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al 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/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/2017</w:t>
      </w:r>
      <w:r w:rsidR="0010131E"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10131E" w:rsidRPr="0010131E" w:rsidRDefault="0010131E" w:rsidP="0010131E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3A6A25" w:rsidRPr="0010131E" w:rsidRDefault="003A6A25" w:rsidP="0010131E">
      <w:pPr>
        <w:pStyle w:val="Paragrafoelenco"/>
        <w:numPr>
          <w:ilvl w:val="0"/>
          <w:numId w:val="21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dal __/__2017 al __/__/2017</w:t>
      </w:r>
      <w:r w:rsidR="0010131E"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</w:t>
      </w:r>
      <w:r w:rsidR="003924D3">
        <w:rPr>
          <w:rFonts w:ascii="Century Gothic" w:hAnsi="Century Gothic"/>
          <w:i/>
          <w:sz w:val="22"/>
          <w:szCs w:val="22"/>
        </w:rPr>
        <w:t>,00</w:t>
      </w:r>
      <w:r w:rsidRPr="00074920">
        <w:rPr>
          <w:rFonts w:ascii="Century Gothic" w:hAnsi="Century Gothic"/>
          <w:i/>
          <w:sz w:val="22"/>
          <w:szCs w:val="22"/>
        </w:rPr>
        <w:t xml:space="preserve">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EE1A6E" w:rsidRDefault="00EE1A6E" w:rsidP="00EE1A6E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  <w:r w:rsidRPr="006A100B">
        <w:rPr>
          <w:rFonts w:ascii="Century Gothic" w:hAnsi="Century Gothic"/>
          <w:b/>
          <w:sz w:val="22"/>
          <w:szCs w:val="22"/>
        </w:rPr>
        <w:lastRenderedPageBreak/>
        <w:t>L’Autorizzazione ha validità ed efficacia dalla data di sottoscrizione da parte del Dirigente ed è subordinata alla corresponsione della TOSAP che dovrà essere effettuata entro 30 giorni dal rilascio del presente provvedimento</w:t>
      </w:r>
      <w:r>
        <w:rPr>
          <w:rFonts w:ascii="Century Gothic" w:hAnsi="Century Gothic"/>
          <w:b/>
          <w:sz w:val="22"/>
          <w:szCs w:val="22"/>
        </w:rPr>
        <w:t xml:space="preserve"> (</w:t>
      </w:r>
      <w:proofErr w:type="spellStart"/>
      <w:r>
        <w:rPr>
          <w:rFonts w:ascii="Century Gothic" w:hAnsi="Century Gothic"/>
          <w:b/>
          <w:sz w:val="22"/>
          <w:szCs w:val="22"/>
        </w:rPr>
        <w:t>dehors</w:t>
      </w:r>
      <w:proofErr w:type="spellEnd"/>
      <w:r>
        <w:rPr>
          <w:rFonts w:ascii="Century Gothic" w:hAnsi="Century Gothic"/>
          <w:b/>
          <w:sz w:val="22"/>
          <w:szCs w:val="22"/>
        </w:rPr>
        <w:t xml:space="preserve"> permanenti) oppure entro l’ultimo giorno dell’occupazione (</w:t>
      </w:r>
      <w:proofErr w:type="spellStart"/>
      <w:r>
        <w:rPr>
          <w:rFonts w:ascii="Century Gothic" w:hAnsi="Century Gothic"/>
          <w:b/>
          <w:sz w:val="22"/>
          <w:szCs w:val="22"/>
        </w:rPr>
        <w:t>dehors</w:t>
      </w:r>
      <w:proofErr w:type="spellEnd"/>
      <w:r>
        <w:rPr>
          <w:rFonts w:ascii="Century Gothic" w:hAnsi="Century Gothic"/>
          <w:b/>
          <w:sz w:val="22"/>
          <w:szCs w:val="22"/>
        </w:rPr>
        <w:t xml:space="preserve"> </w:t>
      </w:r>
      <w:r w:rsidR="00214DDB">
        <w:rPr>
          <w:rFonts w:ascii="Century Gothic" w:hAnsi="Century Gothic"/>
          <w:b/>
          <w:sz w:val="22"/>
          <w:szCs w:val="22"/>
        </w:rPr>
        <w:t>stagionali</w:t>
      </w:r>
      <w:r>
        <w:rPr>
          <w:rFonts w:ascii="Century Gothic" w:hAnsi="Century Gothic"/>
          <w:b/>
          <w:sz w:val="22"/>
          <w:szCs w:val="22"/>
        </w:rPr>
        <w:t>).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F16EB3">
        <w:rPr>
          <w:rFonts w:ascii="Century Gothic" w:hAnsi="Century Gothic" w:cs="Arial"/>
          <w:i/>
          <w:noProof/>
          <w:sz w:val="22"/>
          <w:szCs w:val="22"/>
        </w:rPr>
        <w:t>8 agosto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913" w:rsidRDefault="00EE4913" w:rsidP="0088202B">
      <w:r>
        <w:separator/>
      </w:r>
    </w:p>
  </w:endnote>
  <w:endnote w:type="continuationSeparator" w:id="0">
    <w:p w:rsidR="00EE4913" w:rsidRDefault="00EE4913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913" w:rsidRDefault="00EE4913" w:rsidP="0088202B">
      <w:r>
        <w:separator/>
      </w:r>
    </w:p>
  </w:footnote>
  <w:footnote w:type="continuationSeparator" w:id="0">
    <w:p w:rsidR="00EE4913" w:rsidRDefault="00EE4913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F7BF9"/>
    <w:multiLevelType w:val="hybridMultilevel"/>
    <w:tmpl w:val="B6E29262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CF3C32"/>
    <w:multiLevelType w:val="hybridMultilevel"/>
    <w:tmpl w:val="14C2A384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C7D2DF8"/>
    <w:multiLevelType w:val="hybridMultilevel"/>
    <w:tmpl w:val="78BC4C2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A8F4095"/>
    <w:multiLevelType w:val="hybridMultilevel"/>
    <w:tmpl w:val="8F1464E6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567851"/>
    <w:multiLevelType w:val="hybridMultilevel"/>
    <w:tmpl w:val="399A5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A658F"/>
    <w:multiLevelType w:val="multilevel"/>
    <w:tmpl w:val="CC440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2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20"/>
  </w:num>
  <w:num w:numId="11">
    <w:abstractNumId w:val="16"/>
  </w:num>
  <w:num w:numId="12">
    <w:abstractNumId w:val="19"/>
  </w:num>
  <w:num w:numId="13">
    <w:abstractNumId w:val="18"/>
  </w:num>
  <w:num w:numId="14">
    <w:abstractNumId w:val="3"/>
  </w:num>
  <w:num w:numId="15">
    <w:abstractNumId w:val="0"/>
  </w:num>
  <w:num w:numId="16">
    <w:abstractNumId w:val="23"/>
  </w:num>
  <w:num w:numId="17">
    <w:abstractNumId w:val="8"/>
  </w:num>
  <w:num w:numId="18">
    <w:abstractNumId w:val="15"/>
  </w:num>
  <w:num w:numId="19">
    <w:abstractNumId w:val="1"/>
  </w:num>
  <w:num w:numId="20">
    <w:abstractNumId w:val="13"/>
  </w:num>
  <w:num w:numId="21">
    <w:abstractNumId w:val="9"/>
  </w:num>
  <w:num w:numId="22">
    <w:abstractNumId w:val="22"/>
  </w:num>
  <w:num w:numId="23">
    <w:abstractNumId w:val="17"/>
  </w:num>
  <w:num w:numId="24">
    <w:abstractNumId w:val="1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74920"/>
    <w:rsid w:val="00080514"/>
    <w:rsid w:val="00082055"/>
    <w:rsid w:val="000A0405"/>
    <w:rsid w:val="000B1060"/>
    <w:rsid w:val="000C3082"/>
    <w:rsid w:val="000C46ED"/>
    <w:rsid w:val="000C47B2"/>
    <w:rsid w:val="000D3CC6"/>
    <w:rsid w:val="000F202E"/>
    <w:rsid w:val="000F36CB"/>
    <w:rsid w:val="0010131E"/>
    <w:rsid w:val="00104400"/>
    <w:rsid w:val="001350D3"/>
    <w:rsid w:val="00142427"/>
    <w:rsid w:val="00143423"/>
    <w:rsid w:val="00166B4B"/>
    <w:rsid w:val="00185CC1"/>
    <w:rsid w:val="00185D45"/>
    <w:rsid w:val="001B7809"/>
    <w:rsid w:val="001E1725"/>
    <w:rsid w:val="001F38AD"/>
    <w:rsid w:val="00200005"/>
    <w:rsid w:val="00214DDB"/>
    <w:rsid w:val="00237AB5"/>
    <w:rsid w:val="00243147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924D3"/>
    <w:rsid w:val="003A6A25"/>
    <w:rsid w:val="003A785C"/>
    <w:rsid w:val="003A79C1"/>
    <w:rsid w:val="003B0408"/>
    <w:rsid w:val="003C0A81"/>
    <w:rsid w:val="003E5849"/>
    <w:rsid w:val="004266B6"/>
    <w:rsid w:val="0043445C"/>
    <w:rsid w:val="0044288D"/>
    <w:rsid w:val="00451843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62206"/>
    <w:rsid w:val="00573AC8"/>
    <w:rsid w:val="00574312"/>
    <w:rsid w:val="00587881"/>
    <w:rsid w:val="00595194"/>
    <w:rsid w:val="005D4135"/>
    <w:rsid w:val="005E279E"/>
    <w:rsid w:val="006101C2"/>
    <w:rsid w:val="006101E0"/>
    <w:rsid w:val="006170E3"/>
    <w:rsid w:val="0063288D"/>
    <w:rsid w:val="006345CE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3F90"/>
    <w:rsid w:val="00746014"/>
    <w:rsid w:val="0075345B"/>
    <w:rsid w:val="00756611"/>
    <w:rsid w:val="007569D5"/>
    <w:rsid w:val="00760A91"/>
    <w:rsid w:val="00763E3E"/>
    <w:rsid w:val="00787331"/>
    <w:rsid w:val="007978E3"/>
    <w:rsid w:val="007D6D58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E28F1"/>
    <w:rsid w:val="008F2DFF"/>
    <w:rsid w:val="00911632"/>
    <w:rsid w:val="00914E7A"/>
    <w:rsid w:val="00924131"/>
    <w:rsid w:val="00924CDF"/>
    <w:rsid w:val="00925C51"/>
    <w:rsid w:val="00964E09"/>
    <w:rsid w:val="009808E4"/>
    <w:rsid w:val="009A6391"/>
    <w:rsid w:val="009A67A8"/>
    <w:rsid w:val="009E768A"/>
    <w:rsid w:val="009F6F59"/>
    <w:rsid w:val="00A06AB9"/>
    <w:rsid w:val="00A076F1"/>
    <w:rsid w:val="00A10A6D"/>
    <w:rsid w:val="00A45E47"/>
    <w:rsid w:val="00A572D9"/>
    <w:rsid w:val="00A71809"/>
    <w:rsid w:val="00A81976"/>
    <w:rsid w:val="00A92CA9"/>
    <w:rsid w:val="00A957A8"/>
    <w:rsid w:val="00AA6815"/>
    <w:rsid w:val="00AB7432"/>
    <w:rsid w:val="00AC7816"/>
    <w:rsid w:val="00AD3100"/>
    <w:rsid w:val="00AD6773"/>
    <w:rsid w:val="00AE225D"/>
    <w:rsid w:val="00B3012B"/>
    <w:rsid w:val="00B33B73"/>
    <w:rsid w:val="00B41406"/>
    <w:rsid w:val="00B4396B"/>
    <w:rsid w:val="00B545D3"/>
    <w:rsid w:val="00B56922"/>
    <w:rsid w:val="00B746B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D28E8"/>
    <w:rsid w:val="00CE1F11"/>
    <w:rsid w:val="00CF3CDB"/>
    <w:rsid w:val="00D20777"/>
    <w:rsid w:val="00D3299C"/>
    <w:rsid w:val="00D66177"/>
    <w:rsid w:val="00D72BFE"/>
    <w:rsid w:val="00D74E61"/>
    <w:rsid w:val="00D83FF8"/>
    <w:rsid w:val="00D97577"/>
    <w:rsid w:val="00D97613"/>
    <w:rsid w:val="00DA7F1C"/>
    <w:rsid w:val="00DB6B90"/>
    <w:rsid w:val="00DD1394"/>
    <w:rsid w:val="00DE3F44"/>
    <w:rsid w:val="00DE4832"/>
    <w:rsid w:val="00E14CA0"/>
    <w:rsid w:val="00E30CA5"/>
    <w:rsid w:val="00E32711"/>
    <w:rsid w:val="00EB03FC"/>
    <w:rsid w:val="00EB5271"/>
    <w:rsid w:val="00ED0615"/>
    <w:rsid w:val="00EE1A6E"/>
    <w:rsid w:val="00EE4913"/>
    <w:rsid w:val="00F02860"/>
    <w:rsid w:val="00F13496"/>
    <w:rsid w:val="00F16EB3"/>
    <w:rsid w:val="00F27EC6"/>
    <w:rsid w:val="00F32CEE"/>
    <w:rsid w:val="00F35223"/>
    <w:rsid w:val="00FA4F6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6</TotalTime>
  <Pages>4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10</cp:revision>
  <cp:lastPrinted>2014-11-11T09:12:00Z</cp:lastPrinted>
  <dcterms:created xsi:type="dcterms:W3CDTF">2017-05-18T15:00:00Z</dcterms:created>
  <dcterms:modified xsi:type="dcterms:W3CDTF">2017-08-08T12:12:00Z</dcterms:modified>
</cp:coreProperties>
</file>