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page" w:tblpX="8583" w:tblpY="-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</w:tblGrid>
      <w:tr w:rsidR="00094299" w:rsidRPr="004F748D" w:rsidTr="00094299">
        <w:trPr>
          <w:trHeight w:val="2075"/>
        </w:trPr>
        <w:tc>
          <w:tcPr>
            <w:tcW w:w="2764" w:type="dxa"/>
          </w:tcPr>
          <w:p w:rsidR="00094299" w:rsidRPr="00E915CE" w:rsidRDefault="00094299" w:rsidP="00094299">
            <w:pPr>
              <w:spacing w:before="120"/>
              <w:jc w:val="center"/>
              <w:rPr>
                <w:rFonts w:ascii="Verdana" w:hAnsi="Verdana"/>
                <w:b/>
              </w:rPr>
            </w:pPr>
            <w:r w:rsidRPr="00E915CE">
              <w:rPr>
                <w:rFonts w:ascii="Verdana" w:hAnsi="Verdana"/>
                <w:b/>
              </w:rPr>
              <w:t>MARCA</w:t>
            </w:r>
          </w:p>
          <w:p w:rsidR="00094299" w:rsidRPr="00E915CE" w:rsidRDefault="00094299" w:rsidP="00094299">
            <w:pPr>
              <w:jc w:val="center"/>
              <w:rPr>
                <w:rFonts w:ascii="Verdana" w:hAnsi="Verdana"/>
                <w:b/>
              </w:rPr>
            </w:pPr>
            <w:r w:rsidRPr="00E915CE">
              <w:rPr>
                <w:rFonts w:ascii="Verdana" w:hAnsi="Verdana"/>
                <w:b/>
              </w:rPr>
              <w:t>DA BOLLO</w:t>
            </w:r>
          </w:p>
          <w:p w:rsidR="00094299" w:rsidRDefault="00094299" w:rsidP="00094299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E915CE">
              <w:rPr>
                <w:rFonts w:ascii="Verdana" w:hAnsi="Verdana"/>
                <w:b/>
                <w:sz w:val="18"/>
                <w:szCs w:val="18"/>
              </w:rPr>
              <w:t>€ 16.00</w:t>
            </w:r>
          </w:p>
          <w:p w:rsidR="00094299" w:rsidRPr="000B5462" w:rsidRDefault="00094299" w:rsidP="00094299">
            <w:pPr>
              <w:jc w:val="center"/>
              <w:rPr>
                <w:rFonts w:ascii="Book Antiqua" w:hAnsi="Book Antiqua"/>
                <w:b/>
                <w:sz w:val="16"/>
                <w:szCs w:val="16"/>
                <w:bdr w:val="single" w:sz="4" w:space="0" w:color="auto"/>
              </w:rPr>
            </w:pPr>
            <w:r w:rsidRPr="000B5462">
              <w:rPr>
                <w:rFonts w:ascii="Century Gothic" w:hAnsi="Century Gothic" w:cs="Arial"/>
                <w:sz w:val="16"/>
                <w:szCs w:val="16"/>
              </w:rPr>
              <w:t xml:space="preserve">Per l’annullo della marca da bollo utilizzare l'apposito modulo alla seguente pagina: </w:t>
            </w:r>
            <w:hyperlink r:id="rId8" w:history="1">
              <w:r w:rsidRPr="000B5462">
                <w:rPr>
                  <w:rStyle w:val="Collegamentoipertestuale"/>
                  <w:rFonts w:ascii="Century Gothic" w:hAnsi="Century Gothic"/>
                  <w:sz w:val="16"/>
                  <w:szCs w:val="16"/>
                </w:rPr>
                <w:t>https://trasparenza.comunedisanremo.it/archiviofile/sanremo/utente2923/archivio_file/dich_per_marca_da_bollo.pdf</w:t>
              </w:r>
            </w:hyperlink>
          </w:p>
        </w:tc>
      </w:tr>
    </w:tbl>
    <w:p w:rsidR="008E28F1" w:rsidRPr="007E3B8D" w:rsidRDefault="008E28F1" w:rsidP="008E28F1">
      <w:pPr>
        <w:pStyle w:val="Intestazione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946F7C" wp14:editId="1885B6B9">
            <wp:simplePos x="0" y="0"/>
            <wp:positionH relativeFrom="column">
              <wp:posOffset>74295</wp:posOffset>
            </wp:positionH>
            <wp:positionV relativeFrom="paragraph">
              <wp:posOffset>50165</wp:posOffset>
            </wp:positionV>
            <wp:extent cx="1764665" cy="777240"/>
            <wp:effectExtent l="0" t="0" r="6985" b="3810"/>
            <wp:wrapTopAndBottom/>
            <wp:docPr id="1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i/>
          <w:caps/>
          <w:color w:val="0000FF"/>
        </w:rPr>
        <w:t>settore Servizi alle imprese, al territorio e sviluppo sostenibile</w:t>
      </w:r>
    </w:p>
    <w:p w:rsidR="008E28F1" w:rsidRDefault="008E28F1" w:rsidP="008E28F1">
      <w:pPr>
        <w:rPr>
          <w:rFonts w:ascii="Century Gothic" w:hAnsi="Century Gothic"/>
          <w:b/>
          <w:i/>
          <w:caps/>
          <w:color w:val="0000FF"/>
        </w:rPr>
      </w:pPr>
      <w:r>
        <w:rPr>
          <w:rFonts w:ascii="Century Gothic" w:hAnsi="Century Gothic"/>
          <w:b/>
          <w:i/>
          <w:caps/>
          <w:color w:val="0000FF"/>
        </w:rPr>
        <w:t>Sportello Unico Attività Produttive (S.U.A.P.)</w:t>
      </w:r>
    </w:p>
    <w:p w:rsidR="008E28F1" w:rsidRDefault="008E28F1" w:rsidP="008E28F1">
      <w:pPr>
        <w:pStyle w:val="Intestazione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>Corso Cavallotti, 59 – 18038 Sanremo (IM) - Tel. 0184 580.</w:t>
      </w:r>
      <w:r w:rsidR="00094299">
        <w:rPr>
          <w:rFonts w:ascii="Century Gothic" w:hAnsi="Century Gothic"/>
          <w:b/>
          <w:i/>
          <w:color w:val="0000FF"/>
          <w:sz w:val="18"/>
          <w:szCs w:val="18"/>
        </w:rPr>
        <w:t>3</w:t>
      </w:r>
      <w:r w:rsidR="00886A20">
        <w:rPr>
          <w:rFonts w:ascii="Century Gothic" w:hAnsi="Century Gothic"/>
          <w:b/>
          <w:i/>
          <w:color w:val="0000FF"/>
          <w:sz w:val="18"/>
          <w:szCs w:val="18"/>
        </w:rPr>
        <w:t>26-320</w:t>
      </w: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 </w:t>
      </w:r>
    </w:p>
    <w:p w:rsidR="008E28F1" w:rsidRDefault="008E28F1" w:rsidP="008E28F1">
      <w:pPr>
        <w:pStyle w:val="Intestazione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PEC: </w:t>
      </w:r>
      <w:hyperlink r:id="rId10" w:history="1">
        <w:r>
          <w:rPr>
            <w:rStyle w:val="Collegamentoipertestuale"/>
            <w:rFonts w:ascii="Century Gothic" w:hAnsi="Century Gothic"/>
            <w:b/>
            <w:i/>
            <w:sz w:val="18"/>
            <w:szCs w:val="18"/>
          </w:rPr>
          <w:t>suap.comune.sanremo@legalmail.it</w:t>
        </w:r>
      </w:hyperlink>
    </w:p>
    <w:p w:rsidR="00200005" w:rsidRPr="0088202B" w:rsidRDefault="00200005" w:rsidP="00CC2597">
      <w:pPr>
        <w:rPr>
          <w:rFonts w:ascii="Century Gothic" w:hAnsi="Century Gothic"/>
          <w:sz w:val="22"/>
        </w:rPr>
      </w:pP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r w:rsidRPr="0088202B">
        <w:rPr>
          <w:rFonts w:ascii="Century Gothic" w:hAnsi="Century Gothic"/>
          <w:sz w:val="22"/>
        </w:rPr>
        <w:t xml:space="preserve">Pratica n. </w:t>
      </w:r>
      <w:r w:rsidRPr="0088202B">
        <w:rPr>
          <w:rFonts w:ascii="Century Gothic" w:hAnsi="Century Gothic"/>
          <w:b/>
          <w:sz w:val="22"/>
        </w:rPr>
        <w:t xml:space="preserve">[numero] - </w:t>
      </w:r>
      <w:proofErr w:type="spellStart"/>
      <w:r w:rsidR="00BF6BAD">
        <w:rPr>
          <w:rFonts w:ascii="Century Gothic" w:hAnsi="Century Gothic"/>
          <w:sz w:val="22"/>
        </w:rPr>
        <w:t>Prot</w:t>
      </w:r>
      <w:proofErr w:type="spellEnd"/>
      <w:r w:rsidR="00BF6BAD">
        <w:rPr>
          <w:rFonts w:ascii="Century Gothic" w:hAnsi="Century Gothic"/>
          <w:sz w:val="22"/>
        </w:rPr>
        <w:t>. n.° [protocollo]</w:t>
      </w:r>
      <w:r w:rsidRPr="0088202B">
        <w:rPr>
          <w:rFonts w:ascii="Century Gothic" w:hAnsi="Century Gothic"/>
          <w:sz w:val="22"/>
        </w:rPr>
        <w:t xml:space="preserve"> del [</w:t>
      </w:r>
      <w:proofErr w:type="spellStart"/>
      <w:r w:rsidRPr="0088202B">
        <w:rPr>
          <w:rFonts w:ascii="Century Gothic" w:hAnsi="Century Gothic"/>
          <w:sz w:val="22"/>
        </w:rPr>
        <w:t>data_protocollo</w:t>
      </w:r>
      <w:proofErr w:type="spellEnd"/>
      <w:r w:rsidRPr="0088202B">
        <w:rPr>
          <w:rFonts w:ascii="Century Gothic" w:hAnsi="Century Gothic"/>
          <w:sz w:val="22"/>
        </w:rPr>
        <w:t>]</w:t>
      </w:r>
      <w:r w:rsidRPr="0088202B">
        <w:rPr>
          <w:rFonts w:ascii="Century Gothic" w:hAnsi="Century Gothic"/>
          <w:sz w:val="22"/>
        </w:rPr>
        <w:fldChar w:fldCharType="begin"/>
      </w:r>
      <w:r w:rsidRPr="0088202B">
        <w:rPr>
          <w:rFonts w:ascii="Century Gothic" w:hAnsi="Century Gothic"/>
          <w:sz w:val="22"/>
        </w:rPr>
        <w:instrText xml:space="preserve"> MERGEFIELD DATA_CIE </w:instrText>
      </w:r>
      <w:r w:rsidRPr="0088202B">
        <w:rPr>
          <w:rFonts w:ascii="Century Gothic" w:hAnsi="Century Gothic"/>
          <w:sz w:val="22"/>
        </w:rPr>
        <w:fldChar w:fldCharType="end"/>
      </w: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proofErr w:type="spellStart"/>
      <w:r w:rsidRPr="0088202B">
        <w:rPr>
          <w:rFonts w:ascii="Century Gothic" w:hAnsi="Century Gothic"/>
          <w:sz w:val="22"/>
        </w:rPr>
        <w:t>Prot</w:t>
      </w:r>
      <w:proofErr w:type="spellEnd"/>
      <w:r w:rsidRPr="0088202B">
        <w:rPr>
          <w:rFonts w:ascii="Century Gothic" w:hAnsi="Century Gothic"/>
          <w:sz w:val="22"/>
        </w:rPr>
        <w:t>. n.°________________ del __________________</w:t>
      </w:r>
    </w:p>
    <w:p w:rsidR="0088202B" w:rsidRPr="0088202B" w:rsidRDefault="0088202B" w:rsidP="0088202B">
      <w:pPr>
        <w:jc w:val="right"/>
        <w:rPr>
          <w:rFonts w:ascii="Century Gothic" w:hAnsi="Century Gothic"/>
          <w:sz w:val="22"/>
        </w:rPr>
      </w:pPr>
    </w:p>
    <w:p w:rsidR="0088202B" w:rsidRPr="0088202B" w:rsidRDefault="0088202B" w:rsidP="008E28F1">
      <w:pPr>
        <w:jc w:val="right"/>
        <w:rPr>
          <w:rFonts w:ascii="Century Gothic" w:hAnsi="Century Gothic"/>
          <w:i/>
          <w:sz w:val="22"/>
        </w:rPr>
      </w:pPr>
      <w:r w:rsidRPr="0088202B">
        <w:rPr>
          <w:rFonts w:ascii="Century Gothic" w:hAnsi="Century Gothic"/>
          <w:i/>
          <w:sz w:val="22"/>
        </w:rPr>
        <w:t xml:space="preserve">Dir. </w:t>
      </w:r>
      <w:proofErr w:type="spellStart"/>
      <w:r w:rsidRPr="0088202B">
        <w:rPr>
          <w:rFonts w:ascii="Century Gothic" w:hAnsi="Century Gothic"/>
          <w:i/>
          <w:sz w:val="22"/>
        </w:rPr>
        <w:t>Segr</w:t>
      </w:r>
      <w:proofErr w:type="spellEnd"/>
      <w:r w:rsidRPr="0088202B">
        <w:rPr>
          <w:rFonts w:ascii="Century Gothic" w:hAnsi="Century Gothic"/>
          <w:i/>
          <w:sz w:val="22"/>
        </w:rPr>
        <w:t xml:space="preserve">. € </w:t>
      </w:r>
      <w:r w:rsidR="000B7354">
        <w:rPr>
          <w:rFonts w:ascii="Century Gothic" w:hAnsi="Century Gothic"/>
          <w:i/>
          <w:sz w:val="22"/>
        </w:rPr>
        <w:t>52</w:t>
      </w:r>
      <w:r w:rsidRPr="0088202B">
        <w:rPr>
          <w:rFonts w:ascii="Century Gothic" w:hAnsi="Century Gothic"/>
          <w:i/>
          <w:sz w:val="22"/>
        </w:rPr>
        <w:t>,00</w:t>
      </w:r>
    </w:p>
    <w:p w:rsidR="00496B88" w:rsidRPr="0088202B" w:rsidRDefault="00496B88">
      <w:pPr>
        <w:jc w:val="right"/>
        <w:rPr>
          <w:rFonts w:ascii="Century Gothic" w:hAnsi="Century Gothic"/>
          <w:sz w:val="22"/>
        </w:rPr>
      </w:pP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0738F3">
      <w:pPr>
        <w:jc w:val="center"/>
        <w:rPr>
          <w:rFonts w:ascii="Century Gothic" w:hAnsi="Century Gothic"/>
          <w:b/>
          <w:sz w:val="26"/>
          <w:szCs w:val="26"/>
        </w:rPr>
      </w:pPr>
      <w:r w:rsidRPr="0088202B">
        <w:rPr>
          <w:rFonts w:ascii="Century Gothic" w:hAnsi="Century Gothic"/>
          <w:b/>
          <w:sz w:val="26"/>
          <w:szCs w:val="26"/>
        </w:rPr>
        <w:t>SE</w:t>
      </w:r>
      <w:r w:rsidR="00474BF8" w:rsidRPr="0088202B">
        <w:rPr>
          <w:rFonts w:ascii="Century Gothic" w:hAnsi="Century Gothic"/>
          <w:b/>
          <w:sz w:val="26"/>
          <w:szCs w:val="26"/>
        </w:rPr>
        <w:t>RVIZI ALLE IMPRESE, AL</w:t>
      </w:r>
      <w:r w:rsidRPr="0088202B">
        <w:rPr>
          <w:rFonts w:ascii="Century Gothic" w:hAnsi="Century Gothic"/>
          <w:b/>
          <w:sz w:val="26"/>
          <w:szCs w:val="26"/>
        </w:rPr>
        <w:t xml:space="preserve"> TERRITORIO</w:t>
      </w:r>
    </w:p>
    <w:p w:rsidR="00496B88" w:rsidRPr="0088202B" w:rsidRDefault="00474BF8" w:rsidP="0067086A">
      <w:pPr>
        <w:jc w:val="center"/>
        <w:rPr>
          <w:rFonts w:ascii="Century Gothic" w:hAnsi="Century Gothic"/>
          <w:b/>
          <w:sz w:val="26"/>
          <w:szCs w:val="26"/>
        </w:rPr>
      </w:pPr>
      <w:r w:rsidRPr="0088202B">
        <w:rPr>
          <w:rFonts w:ascii="Century Gothic" w:hAnsi="Century Gothic"/>
          <w:b/>
          <w:sz w:val="26"/>
          <w:szCs w:val="26"/>
        </w:rPr>
        <w:t>E SVILPUPPO SOSTENIBILE</w:t>
      </w:r>
    </w:p>
    <w:p w:rsidR="00496B88" w:rsidRPr="0088202B" w:rsidRDefault="00CE1F11" w:rsidP="00F1007D">
      <w:pPr>
        <w:spacing w:before="360" w:after="240"/>
        <w:jc w:val="center"/>
        <w:rPr>
          <w:rFonts w:ascii="Century Gothic" w:hAnsi="Century Gothic"/>
          <w:b/>
          <w:sz w:val="22"/>
        </w:rPr>
      </w:pPr>
      <w:r w:rsidRPr="0088202B">
        <w:rPr>
          <w:rFonts w:ascii="Century Gothic" w:hAnsi="Century Gothic"/>
          <w:b/>
          <w:sz w:val="22"/>
        </w:rPr>
        <w:t xml:space="preserve">IL </w:t>
      </w:r>
      <w:r w:rsidR="008175A2" w:rsidRPr="0088202B">
        <w:rPr>
          <w:rFonts w:ascii="Century Gothic" w:hAnsi="Century Gothic"/>
          <w:b/>
          <w:sz w:val="22"/>
        </w:rPr>
        <w:t>DIRIGENTE</w:t>
      </w:r>
    </w:p>
    <w:p w:rsidR="00094299" w:rsidRPr="00094299" w:rsidRDefault="00094299" w:rsidP="00094299">
      <w:pPr>
        <w:spacing w:before="240" w:after="120"/>
        <w:jc w:val="both"/>
        <w:rPr>
          <w:rFonts w:ascii="Century Gothic" w:hAnsi="Century Gothic"/>
          <w:b/>
          <w:sz w:val="22"/>
          <w:szCs w:val="22"/>
        </w:rPr>
      </w:pPr>
      <w:r w:rsidRPr="00094299">
        <w:rPr>
          <w:rFonts w:ascii="Century Gothic" w:hAnsi="Century Gothic"/>
          <w:b/>
          <w:sz w:val="22"/>
          <w:szCs w:val="22"/>
        </w:rPr>
        <w:t>VISTA</w:t>
      </w:r>
    </w:p>
    <w:p w:rsidR="000B7354" w:rsidRPr="00613CE5" w:rsidRDefault="000B7354" w:rsidP="00F1007D">
      <w:pPr>
        <w:pStyle w:val="Paragrafoelenco"/>
        <w:numPr>
          <w:ilvl w:val="0"/>
          <w:numId w:val="20"/>
        </w:numPr>
        <w:spacing w:before="120" w:after="120"/>
        <w:contextualSpacing w:val="0"/>
        <w:jc w:val="both"/>
        <w:rPr>
          <w:rFonts w:ascii="Century Gothic" w:hAnsi="Century Gothic"/>
          <w:sz w:val="22"/>
          <w:szCs w:val="22"/>
        </w:rPr>
      </w:pPr>
      <w:r w:rsidRPr="00613CE5">
        <w:rPr>
          <w:rFonts w:ascii="Century Gothic" w:hAnsi="Century Gothic"/>
          <w:sz w:val="22"/>
          <w:szCs w:val="22"/>
        </w:rPr>
        <w:t xml:space="preserve">l’autorizzazione n.° _____ del ___________, rilasciata a __________________ relativa a </w:t>
      </w:r>
      <w:r w:rsidR="00380EB9">
        <w:rPr>
          <w:rFonts w:ascii="Century Gothic" w:hAnsi="Century Gothic"/>
          <w:sz w:val="22"/>
          <w:szCs w:val="22"/>
        </w:rPr>
        <w:t>______________________________</w:t>
      </w:r>
      <w:r w:rsidRPr="00613CE5">
        <w:rPr>
          <w:rFonts w:ascii="Century Gothic" w:hAnsi="Century Gothic"/>
          <w:sz w:val="22"/>
          <w:szCs w:val="22"/>
        </w:rPr>
        <w:t xml:space="preserve"> in Sanremo (IM) [ubicazione], sull'area identificata catastalment</w:t>
      </w:r>
      <w:bookmarkStart w:id="0" w:name="_GoBack"/>
      <w:bookmarkEnd w:id="0"/>
      <w:r w:rsidRPr="00613CE5">
        <w:rPr>
          <w:rFonts w:ascii="Century Gothic" w:hAnsi="Century Gothic"/>
          <w:sz w:val="22"/>
          <w:szCs w:val="22"/>
        </w:rPr>
        <w:t>e al N.C.T. come segue [</w:t>
      </w:r>
      <w:proofErr w:type="spellStart"/>
      <w:r w:rsidRPr="00613CE5">
        <w:rPr>
          <w:rFonts w:ascii="Century Gothic" w:hAnsi="Century Gothic"/>
          <w:sz w:val="22"/>
          <w:szCs w:val="22"/>
        </w:rPr>
        <w:t>elenco_ct</w:t>
      </w:r>
      <w:proofErr w:type="spellEnd"/>
      <w:r w:rsidRPr="00613CE5">
        <w:rPr>
          <w:rFonts w:ascii="Century Gothic" w:hAnsi="Century Gothic"/>
          <w:sz w:val="22"/>
          <w:szCs w:val="22"/>
        </w:rPr>
        <w:t>];</w:t>
      </w:r>
    </w:p>
    <w:p w:rsidR="00F1007D" w:rsidRDefault="00E32711" w:rsidP="00F1007D">
      <w:pPr>
        <w:pStyle w:val="Paragrafoelenco"/>
        <w:numPr>
          <w:ilvl w:val="0"/>
          <w:numId w:val="20"/>
        </w:numPr>
        <w:spacing w:before="120" w:after="120"/>
        <w:contextualSpacing w:val="0"/>
        <w:jc w:val="both"/>
        <w:rPr>
          <w:rFonts w:ascii="Century Gothic" w:hAnsi="Century Gothic"/>
          <w:sz w:val="22"/>
          <w:szCs w:val="22"/>
        </w:rPr>
      </w:pPr>
      <w:r w:rsidRPr="00613CE5">
        <w:rPr>
          <w:rFonts w:ascii="Century Gothic" w:hAnsi="Century Gothic"/>
          <w:sz w:val="22"/>
          <w:szCs w:val="22"/>
        </w:rPr>
        <w:t>l'istanza presentata in data [</w:t>
      </w:r>
      <w:proofErr w:type="spellStart"/>
      <w:r w:rsidRPr="00613CE5">
        <w:rPr>
          <w:rFonts w:ascii="Century Gothic" w:hAnsi="Century Gothic"/>
          <w:sz w:val="22"/>
          <w:szCs w:val="22"/>
        </w:rPr>
        <w:t>data_protocollo</w:t>
      </w:r>
      <w:proofErr w:type="spellEnd"/>
      <w:r w:rsidRPr="00613CE5">
        <w:rPr>
          <w:rFonts w:ascii="Century Gothic" w:hAnsi="Century Gothic"/>
          <w:sz w:val="22"/>
          <w:szCs w:val="22"/>
        </w:rPr>
        <w:t xml:space="preserve">], </w:t>
      </w:r>
      <w:proofErr w:type="spellStart"/>
      <w:r w:rsidRPr="00613CE5">
        <w:rPr>
          <w:rFonts w:ascii="Century Gothic" w:hAnsi="Century Gothic"/>
          <w:sz w:val="22"/>
          <w:szCs w:val="22"/>
        </w:rPr>
        <w:t>prot</w:t>
      </w:r>
      <w:proofErr w:type="spellEnd"/>
      <w:r w:rsidRPr="00613CE5">
        <w:rPr>
          <w:rFonts w:ascii="Century Gothic" w:hAnsi="Century Gothic"/>
          <w:sz w:val="22"/>
          <w:szCs w:val="22"/>
        </w:rPr>
        <w:t>. [proto</w:t>
      </w:r>
      <w:r w:rsidR="00B97D99" w:rsidRPr="00613CE5">
        <w:rPr>
          <w:rFonts w:ascii="Century Gothic" w:hAnsi="Century Gothic"/>
          <w:sz w:val="22"/>
          <w:szCs w:val="22"/>
        </w:rPr>
        <w:t>collo] allo S.U.A.P. del Comune</w:t>
      </w:r>
      <w:r w:rsidRPr="00613CE5">
        <w:rPr>
          <w:rFonts w:ascii="Century Gothic" w:hAnsi="Century Gothic"/>
          <w:sz w:val="22"/>
          <w:szCs w:val="22"/>
        </w:rPr>
        <w:t xml:space="preserve"> da</w:t>
      </w:r>
      <w:r w:rsidR="00F1007D">
        <w:rPr>
          <w:rFonts w:ascii="Century Gothic" w:hAnsi="Century Gothic"/>
          <w:sz w:val="22"/>
          <w:szCs w:val="22"/>
        </w:rPr>
        <w:t>:</w:t>
      </w:r>
    </w:p>
    <w:p w:rsidR="00F1007D" w:rsidRDefault="00F1007D" w:rsidP="00F1007D">
      <w:pPr>
        <w:pStyle w:val="Paragrafoelenco"/>
        <w:numPr>
          <w:ilvl w:val="0"/>
          <w:numId w:val="25"/>
        </w:numPr>
        <w:spacing w:before="120" w:after="120"/>
        <w:contextualSpacing w:val="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sz w:val="22"/>
        </w:rPr>
        <w:t>[</w:t>
      </w:r>
      <w:proofErr w:type="spellStart"/>
      <w:r>
        <w:rPr>
          <w:rFonts w:ascii="Century Gothic" w:hAnsi="Century Gothic"/>
          <w:b/>
          <w:sz w:val="22"/>
        </w:rPr>
        <w:t>richiedenti.titolo</w:t>
      </w:r>
      <w:proofErr w:type="spellEnd"/>
      <w:r>
        <w:rPr>
          <w:rFonts w:ascii="Century Gothic" w:hAnsi="Century Gothic"/>
          <w:b/>
          <w:sz w:val="22"/>
        </w:rPr>
        <w:t>]</w:t>
      </w:r>
      <w:r>
        <w:rPr>
          <w:rFonts w:ascii="Century Gothic" w:hAnsi="Century Gothic"/>
          <w:sz w:val="22"/>
        </w:rPr>
        <w:t xml:space="preserve"> dell’attività produttiva denominata </w:t>
      </w:r>
      <w:r>
        <w:rPr>
          <w:rFonts w:ascii="Century Gothic" w:hAnsi="Century Gothic"/>
          <w:b/>
          <w:sz w:val="22"/>
        </w:rPr>
        <w:t>[</w:t>
      </w:r>
      <w:proofErr w:type="spellStart"/>
      <w:r>
        <w:rPr>
          <w:rFonts w:ascii="Century Gothic" w:hAnsi="Century Gothic"/>
          <w:b/>
          <w:sz w:val="22"/>
        </w:rPr>
        <w:t>elenco_richiedenti</w:t>
      </w:r>
      <w:proofErr w:type="spellEnd"/>
      <w:r>
        <w:rPr>
          <w:rFonts w:ascii="Century Gothic" w:hAnsi="Century Gothic"/>
          <w:b/>
          <w:sz w:val="22"/>
        </w:rPr>
        <w:t>]</w:t>
      </w:r>
      <w:r>
        <w:rPr>
          <w:rFonts w:ascii="Century Gothic" w:hAnsi="Century Gothic"/>
          <w:sz w:val="22"/>
        </w:rPr>
        <w:t xml:space="preserve"> PEC: </w:t>
      </w:r>
      <w:r>
        <w:rPr>
          <w:rFonts w:ascii="Century Gothic" w:hAnsi="Century Gothic"/>
          <w:color w:val="0000FF"/>
          <w:sz w:val="22"/>
        </w:rPr>
        <w:t>[</w:t>
      </w:r>
      <w:proofErr w:type="spellStart"/>
      <w:r>
        <w:rPr>
          <w:rFonts w:ascii="Century Gothic" w:hAnsi="Century Gothic"/>
          <w:color w:val="0000FF"/>
          <w:sz w:val="22"/>
        </w:rPr>
        <w:t>richiedente.pec</w:t>
      </w:r>
      <w:proofErr w:type="spellEnd"/>
      <w:r>
        <w:rPr>
          <w:rFonts w:ascii="Century Gothic" w:hAnsi="Century Gothic"/>
          <w:color w:val="0000FF"/>
          <w:sz w:val="22"/>
        </w:rPr>
        <w:t>]</w:t>
      </w:r>
      <w:r w:rsidRPr="00336256">
        <w:rPr>
          <w:rFonts w:ascii="Century Gothic" w:hAnsi="Century Gothic"/>
          <w:sz w:val="22"/>
        </w:rPr>
        <w:t>,</w:t>
      </w:r>
    </w:p>
    <w:p w:rsidR="00E32711" w:rsidRPr="00F1007D" w:rsidRDefault="003F1B40" w:rsidP="00F1007D">
      <w:pPr>
        <w:pStyle w:val="Paragrafoelenco"/>
        <w:spacing w:before="120" w:after="120"/>
        <w:contextualSpacing w:val="0"/>
        <w:jc w:val="both"/>
        <w:rPr>
          <w:rFonts w:ascii="Century Gothic" w:hAnsi="Century Gothic"/>
          <w:sz w:val="22"/>
          <w:szCs w:val="22"/>
        </w:rPr>
      </w:pPr>
      <w:r w:rsidRPr="00F1007D">
        <w:rPr>
          <w:rFonts w:ascii="Century Gothic" w:hAnsi="Century Gothic"/>
          <w:sz w:val="22"/>
          <w:szCs w:val="22"/>
        </w:rPr>
        <w:t>per</w:t>
      </w:r>
      <w:r w:rsidR="000B7354" w:rsidRPr="00F1007D">
        <w:rPr>
          <w:rFonts w:ascii="Century Gothic" w:hAnsi="Century Gothic"/>
          <w:sz w:val="22"/>
          <w:szCs w:val="22"/>
        </w:rPr>
        <w:t xml:space="preserve"> </w:t>
      </w:r>
      <w:r w:rsidRPr="00F1007D">
        <w:rPr>
          <w:rFonts w:ascii="Century Gothic" w:hAnsi="Century Gothic"/>
          <w:b/>
          <w:sz w:val="22"/>
          <w:szCs w:val="22"/>
        </w:rPr>
        <w:t>[oggetto]</w:t>
      </w:r>
      <w:r w:rsidR="000B7354" w:rsidRPr="00F1007D">
        <w:rPr>
          <w:rFonts w:ascii="Century Gothic" w:hAnsi="Century Gothic"/>
          <w:sz w:val="22"/>
          <w:szCs w:val="22"/>
        </w:rPr>
        <w:t>;</w:t>
      </w:r>
    </w:p>
    <w:p w:rsidR="00FF3E19" w:rsidRPr="006A100B" w:rsidRDefault="00FF3E19" w:rsidP="00F1007D">
      <w:pPr>
        <w:pStyle w:val="Paragrafoelenco"/>
        <w:numPr>
          <w:ilvl w:val="0"/>
          <w:numId w:val="20"/>
        </w:numPr>
        <w:spacing w:before="120" w:after="120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le norme in vigore e in particolare i Regolamenti Comunali di Polizia Urbana, Edilizia, Sanità ed Igiene;</w:t>
      </w:r>
    </w:p>
    <w:p w:rsidR="00FF3E19" w:rsidRPr="006A100B" w:rsidRDefault="00FF3E19" w:rsidP="00F1007D">
      <w:pPr>
        <w:pStyle w:val="Paragrafoelenco"/>
        <w:numPr>
          <w:ilvl w:val="0"/>
          <w:numId w:val="20"/>
        </w:numPr>
        <w:spacing w:before="120" w:after="120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il vigente Regolamento Comunale per l’applicazione della Tassa sull’Occupazione di Spazi ed Aree Pubbliche “TOSAP”;</w:t>
      </w:r>
    </w:p>
    <w:p w:rsidR="006101E0" w:rsidRPr="00CC5D46" w:rsidRDefault="00FF3E19" w:rsidP="00F1007D">
      <w:pPr>
        <w:pStyle w:val="Paragrafoelenco"/>
        <w:numPr>
          <w:ilvl w:val="0"/>
          <w:numId w:val="20"/>
        </w:numPr>
        <w:spacing w:before="120" w:after="120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il nuovo “Regolamento per la realizzazione dei </w:t>
      </w:r>
      <w:proofErr w:type="spellStart"/>
      <w:r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stagionali e permanenti” del Comune approvato con Deliberazione di Consiglio Comunale n. 14 del 05/04/2016;</w:t>
      </w:r>
    </w:p>
    <w:p w:rsidR="00094299" w:rsidRPr="00094299" w:rsidRDefault="00094299" w:rsidP="00094299">
      <w:pPr>
        <w:spacing w:before="240" w:after="120"/>
        <w:jc w:val="both"/>
        <w:rPr>
          <w:rFonts w:ascii="Century Gothic" w:hAnsi="Century Gothic"/>
          <w:b/>
          <w:sz w:val="22"/>
          <w:szCs w:val="22"/>
        </w:rPr>
      </w:pPr>
      <w:r w:rsidRPr="00094299">
        <w:rPr>
          <w:rFonts w:ascii="Century Gothic" w:hAnsi="Century Gothic"/>
          <w:b/>
          <w:sz w:val="22"/>
          <w:szCs w:val="22"/>
        </w:rPr>
        <w:t>RITENUTO</w:t>
      </w:r>
    </w:p>
    <w:p w:rsidR="00FF3E19" w:rsidRPr="006A100B" w:rsidRDefault="00FF3E19" w:rsidP="00094299">
      <w:pPr>
        <w:pStyle w:val="Paragrafoelenco"/>
        <w:numPr>
          <w:ilvl w:val="0"/>
          <w:numId w:val="21"/>
        </w:num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pertanto di poter accogliere l’istanza stessa, alle condizioni di seguito specificate;</w:t>
      </w:r>
    </w:p>
    <w:p w:rsidR="00185D45" w:rsidRPr="00185D45" w:rsidRDefault="000B7354" w:rsidP="00094299">
      <w:pPr>
        <w:spacing w:before="240" w:after="240"/>
        <w:jc w:val="center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SI VOLTURA</w:t>
      </w:r>
    </w:p>
    <w:p w:rsidR="00094299" w:rsidRDefault="00094299" w:rsidP="00AB7432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</w:t>
      </w:r>
      <w:r w:rsidR="000B7354">
        <w:rPr>
          <w:rFonts w:ascii="Century Gothic" w:hAnsi="Century Gothic"/>
          <w:sz w:val="22"/>
          <w:szCs w:val="22"/>
        </w:rPr>
        <w:t xml:space="preserve">’autorizzazione n.° ____________ del _____________ </w:t>
      </w:r>
      <w:r w:rsidR="00CD7A0E">
        <w:rPr>
          <w:rFonts w:ascii="Century Gothic" w:hAnsi="Century Gothic"/>
          <w:sz w:val="22"/>
          <w:szCs w:val="22"/>
        </w:rPr>
        <w:t>al</w:t>
      </w:r>
    </w:p>
    <w:p w:rsidR="00094299" w:rsidRDefault="00094299" w:rsidP="00AB7432">
      <w:pPr>
        <w:jc w:val="both"/>
        <w:rPr>
          <w:rFonts w:ascii="Century Gothic" w:hAnsi="Century Gothic"/>
          <w:sz w:val="22"/>
          <w:szCs w:val="22"/>
        </w:rPr>
      </w:pPr>
    </w:p>
    <w:p w:rsidR="00094299" w:rsidRPr="00CD7A0E" w:rsidRDefault="00094299" w:rsidP="00CD7A0E">
      <w:pPr>
        <w:pStyle w:val="Paragrafoelenco"/>
        <w:numPr>
          <w:ilvl w:val="0"/>
          <w:numId w:val="23"/>
        </w:numPr>
        <w:spacing w:before="120" w:after="120"/>
        <w:contextualSpacing w:val="0"/>
        <w:jc w:val="both"/>
        <w:rPr>
          <w:rFonts w:ascii="Century Gothic" w:hAnsi="Century Gothic"/>
          <w:sz w:val="22"/>
        </w:rPr>
      </w:pPr>
      <w:r w:rsidRPr="00CD7A0E">
        <w:rPr>
          <w:rFonts w:ascii="Century Gothic" w:hAnsi="Century Gothic"/>
          <w:b/>
          <w:sz w:val="22"/>
        </w:rPr>
        <w:t>[</w:t>
      </w:r>
      <w:proofErr w:type="spellStart"/>
      <w:r w:rsidR="00A51A12">
        <w:rPr>
          <w:rFonts w:ascii="Century Gothic" w:hAnsi="Century Gothic"/>
          <w:b/>
          <w:sz w:val="22"/>
        </w:rPr>
        <w:t>richiedenti</w:t>
      </w:r>
      <w:r w:rsidRPr="00CD7A0E">
        <w:rPr>
          <w:rFonts w:ascii="Century Gothic" w:hAnsi="Century Gothic"/>
          <w:b/>
          <w:sz w:val="22"/>
        </w:rPr>
        <w:t>.titolo</w:t>
      </w:r>
      <w:proofErr w:type="spellEnd"/>
      <w:r w:rsidRPr="00CD7A0E">
        <w:rPr>
          <w:rFonts w:ascii="Century Gothic" w:hAnsi="Century Gothic"/>
          <w:b/>
          <w:sz w:val="22"/>
        </w:rPr>
        <w:t>]</w:t>
      </w:r>
      <w:r w:rsidRPr="00CD7A0E">
        <w:rPr>
          <w:rFonts w:ascii="Century Gothic" w:hAnsi="Century Gothic"/>
          <w:sz w:val="22"/>
        </w:rPr>
        <w:t xml:space="preserve"> della Ditta denominata </w:t>
      </w:r>
      <w:r w:rsidRPr="00CD7A0E">
        <w:rPr>
          <w:rFonts w:ascii="Century Gothic" w:hAnsi="Century Gothic"/>
          <w:b/>
          <w:sz w:val="22"/>
        </w:rPr>
        <w:t>[</w:t>
      </w:r>
      <w:proofErr w:type="spellStart"/>
      <w:r w:rsidRPr="00CD7A0E">
        <w:rPr>
          <w:rFonts w:ascii="Century Gothic" w:hAnsi="Century Gothic"/>
          <w:b/>
          <w:sz w:val="22"/>
        </w:rPr>
        <w:t>elenco_richiedenti</w:t>
      </w:r>
      <w:proofErr w:type="spellEnd"/>
      <w:r w:rsidRPr="00CD7A0E">
        <w:rPr>
          <w:rFonts w:ascii="Century Gothic" w:hAnsi="Century Gothic"/>
          <w:b/>
          <w:sz w:val="22"/>
        </w:rPr>
        <w:t>]</w:t>
      </w:r>
      <w:r w:rsidRPr="00CD7A0E">
        <w:rPr>
          <w:rFonts w:ascii="Century Gothic" w:hAnsi="Century Gothic"/>
          <w:sz w:val="22"/>
        </w:rPr>
        <w:t xml:space="preserve">, PEC: </w:t>
      </w:r>
      <w:r w:rsidRPr="00CD7A0E">
        <w:rPr>
          <w:rFonts w:ascii="Century Gothic" w:hAnsi="Century Gothic"/>
          <w:color w:val="0070C0"/>
          <w:sz w:val="22"/>
        </w:rPr>
        <w:t>[</w:t>
      </w:r>
      <w:proofErr w:type="spellStart"/>
      <w:r w:rsidRPr="00CD7A0E">
        <w:rPr>
          <w:rFonts w:ascii="Century Gothic" w:hAnsi="Century Gothic"/>
          <w:color w:val="0070C0"/>
          <w:sz w:val="22"/>
        </w:rPr>
        <w:t>richiedente.pec</w:t>
      </w:r>
      <w:proofErr w:type="spellEnd"/>
      <w:r w:rsidRPr="00CD7A0E">
        <w:rPr>
          <w:rFonts w:ascii="Century Gothic" w:hAnsi="Century Gothic"/>
          <w:color w:val="0070C0"/>
          <w:sz w:val="22"/>
        </w:rPr>
        <w:t>]</w:t>
      </w:r>
    </w:p>
    <w:p w:rsidR="00094299" w:rsidRDefault="00CD7A0E" w:rsidP="00CD7A0E">
      <w:pPr>
        <w:pStyle w:val="Paragrafoelenco"/>
        <w:numPr>
          <w:ilvl w:val="0"/>
          <w:numId w:val="22"/>
        </w:numPr>
        <w:suppressAutoHyphens/>
        <w:spacing w:before="120" w:after="120"/>
        <w:ind w:left="1418" w:hanging="709"/>
        <w:contextualSpacing w:val="0"/>
        <w:jc w:val="both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sz w:val="22"/>
          <w:szCs w:val="22"/>
        </w:rPr>
        <w:t>l’</w:t>
      </w:r>
      <w:r w:rsidR="00094299">
        <w:rPr>
          <w:rFonts w:ascii="Century Gothic" w:hAnsi="Century Gothic"/>
          <w:b/>
          <w:sz w:val="22"/>
          <w:szCs w:val="22"/>
          <w:u w:val="single"/>
        </w:rPr>
        <w:t>occupa</w:t>
      </w:r>
      <w:r>
        <w:rPr>
          <w:rFonts w:ascii="Century Gothic" w:hAnsi="Century Gothic"/>
          <w:b/>
          <w:sz w:val="22"/>
          <w:szCs w:val="22"/>
          <w:u w:val="single"/>
        </w:rPr>
        <w:t>zione</w:t>
      </w:r>
      <w:r w:rsidR="00094299">
        <w:rPr>
          <w:rFonts w:ascii="Century Gothic" w:hAnsi="Century Gothic"/>
          <w:sz w:val="22"/>
          <w:szCs w:val="22"/>
        </w:rPr>
        <w:t xml:space="preserve"> </w:t>
      </w:r>
      <w:r w:rsidR="00094299">
        <w:rPr>
          <w:rFonts w:ascii="Century Gothic" w:hAnsi="Century Gothic"/>
          <w:b/>
          <w:sz w:val="22"/>
          <w:szCs w:val="22"/>
          <w:shd w:val="clear" w:color="auto" w:fill="FFFF00"/>
        </w:rPr>
        <w:t>mq _____________ (m. __________ x ________)</w:t>
      </w:r>
      <w:r w:rsidR="00094299">
        <w:rPr>
          <w:rFonts w:ascii="Century Gothic" w:hAnsi="Century Gothic"/>
          <w:sz w:val="22"/>
          <w:szCs w:val="22"/>
        </w:rPr>
        <w:t xml:space="preserve"> di suolo pubblico per la posa di </w:t>
      </w:r>
      <w:r w:rsidR="00094299">
        <w:rPr>
          <w:rFonts w:ascii="Century Gothic" w:hAnsi="Century Gothic"/>
          <w:b/>
          <w:sz w:val="22"/>
        </w:rPr>
        <w:t>[oggetto],</w:t>
      </w:r>
    </w:p>
    <w:p w:rsidR="000B7354" w:rsidRDefault="00FF3E19" w:rsidP="00AB7432">
      <w:p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avente le caratteristiche </w:t>
      </w:r>
      <w:r w:rsidR="00CD7A0E">
        <w:rPr>
          <w:rFonts w:ascii="Century Gothic" w:hAnsi="Century Gothic"/>
          <w:sz w:val="22"/>
          <w:szCs w:val="22"/>
        </w:rPr>
        <w:t>nell’autorizzazione n.°____________ del _____________</w:t>
      </w:r>
      <w:r w:rsidRPr="006A100B">
        <w:rPr>
          <w:rFonts w:ascii="Century Gothic" w:hAnsi="Century Gothic"/>
          <w:sz w:val="22"/>
          <w:szCs w:val="22"/>
        </w:rPr>
        <w:t xml:space="preserve">, antistante l’esercizio pubblico denominato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 w:rsidRPr="006A100B">
        <w:rPr>
          <w:rFonts w:ascii="Century Gothic" w:hAnsi="Century Gothic"/>
          <w:sz w:val="22"/>
          <w:szCs w:val="22"/>
        </w:rPr>
        <w:t xml:space="preserve"> sito </w:t>
      </w:r>
      <w:r w:rsidR="006A100B" w:rsidRPr="006A100B">
        <w:rPr>
          <w:rFonts w:ascii="Century Gothic" w:hAnsi="Century Gothic"/>
          <w:sz w:val="22"/>
          <w:szCs w:val="22"/>
        </w:rPr>
        <w:t>in Sanremo (IM) [ubicazione]</w:t>
      </w:r>
      <w:r w:rsidR="00CD7A0E">
        <w:rPr>
          <w:rFonts w:ascii="Century Gothic" w:hAnsi="Century Gothic"/>
          <w:sz w:val="22"/>
          <w:szCs w:val="22"/>
        </w:rPr>
        <w:t>.</w:t>
      </w:r>
    </w:p>
    <w:p w:rsidR="000B7354" w:rsidRDefault="000B7354" w:rsidP="00AB7432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>L’autorizzazione scadrà in data ______________, come indicato nella stessa.</w:t>
      </w:r>
    </w:p>
    <w:p w:rsidR="000B7354" w:rsidRDefault="000B7354" w:rsidP="00CD7A0E">
      <w:pPr>
        <w:spacing w:before="12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La presente voltura si intende rilasciata alle medesime condizioni riportate </w:t>
      </w:r>
      <w:r w:rsidR="00CD7A0E">
        <w:rPr>
          <w:rFonts w:ascii="Century Gothic" w:hAnsi="Century Gothic"/>
          <w:sz w:val="22"/>
          <w:szCs w:val="22"/>
        </w:rPr>
        <w:t>nella sopracitata autorizzazione</w:t>
      </w:r>
      <w:r w:rsidR="00613CE5">
        <w:rPr>
          <w:rFonts w:ascii="Century Gothic" w:hAnsi="Century Gothic"/>
          <w:sz w:val="22"/>
          <w:szCs w:val="22"/>
        </w:rPr>
        <w:t xml:space="preserve"> e qui di seguito richiamate:</w:t>
      </w:r>
    </w:p>
    <w:p w:rsidR="00613CE5" w:rsidRDefault="00613CE5" w:rsidP="00AB7432">
      <w:pPr>
        <w:jc w:val="both"/>
        <w:rPr>
          <w:rFonts w:ascii="Century Gothic" w:hAnsi="Century Gothic"/>
          <w:sz w:val="22"/>
          <w:szCs w:val="22"/>
        </w:rPr>
      </w:pP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esercente è tenuta al rispetto delle condizioni e all’adempimento degli obblighi contenuti nella presente autorizzazione;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L’Autorizzazione dovrà essere conservata presso l’esercizio e presentata al Corpo di Polizia Municipale (o ad altro Ufficio) in caso di controlli;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Gli arredi saranno conformi a quanto previsto dal Regolamento e saranno costituiti da tavolini e sedie come descritti nell’istanza;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dovrà essere limitata allo spazio assegnato;</w:t>
      </w:r>
    </w:p>
    <w:p w:rsidR="00200005" w:rsidRDefault="00544064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oggetto della presente autorizzazione non può essere adibita ad attività diversa dalla somministrazione di alimenti e bevande;</w:t>
      </w:r>
    </w:p>
    <w:p w:rsidR="00CC5D46" w:rsidRDefault="00CC5D46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Dovranno essere adottati tutti gli accorgimenti necessari ad evitare danni a persone e/o cose (danni da cui il Comune è manlevato);</w:t>
      </w:r>
    </w:p>
    <w:p w:rsidR="00CC5D46" w:rsidRDefault="00CC5D46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Dovrà essere curata la manutenzione delle opere costruite e delle attrezzature installate in dipendenza della concessione;</w:t>
      </w:r>
    </w:p>
    <w:p w:rsidR="00CC5D46" w:rsidRDefault="00CC5D46" w:rsidP="00CC5D46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Dovranno essere osservate le prescrizioni contenute nella nota del Servizio Difesa del Suolo del ___________________, allegata in copia che dispone:</w:t>
      </w:r>
    </w:p>
    <w:p w:rsidR="00CC5D46" w:rsidRPr="00CC5D46" w:rsidRDefault="00CC5D46" w:rsidP="00CC5D46">
      <w:pPr>
        <w:pStyle w:val="Paragrafoelenco"/>
        <w:numPr>
          <w:ilvl w:val="0"/>
          <w:numId w:val="18"/>
        </w:numPr>
        <w:jc w:val="both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>______________________</w:t>
      </w:r>
    </w:p>
    <w:p w:rsidR="007D6FFF" w:rsidRPr="006A100B" w:rsidRDefault="007D6FFF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è obbligata a :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Mantenere lo spazio pubblico concesso in buono stato igienico/sanitario e di decori;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Mantenere gli elementi costitutivi dell’occupazione ordinati, puliti e funzionali, senza aggiunte o modifiche rispetto a quanto autorizzato;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Ritirare quotidianamente alla chiusura dell’esercizio gli elementi di arredo, che dovranno essere tassativamente custoditi in luogo privato</w:t>
      </w:r>
      <w:r w:rsidR="00886A20">
        <w:rPr>
          <w:rFonts w:ascii="Century Gothic" w:hAnsi="Century Gothic"/>
          <w:i/>
          <w:sz w:val="22"/>
          <w:szCs w:val="22"/>
        </w:rPr>
        <w:t xml:space="preserve"> o impilati nell’ambito dell’occupazione  in modo da non creare intralcio</w:t>
      </w:r>
      <w:r w:rsidRPr="00074920">
        <w:rPr>
          <w:rFonts w:ascii="Century Gothic" w:hAnsi="Century Gothic"/>
          <w:i/>
          <w:sz w:val="22"/>
          <w:szCs w:val="22"/>
        </w:rPr>
        <w:t>;</w:t>
      </w:r>
    </w:p>
    <w:p w:rsidR="00CC5D46" w:rsidRDefault="00CC5D46" w:rsidP="00074920">
      <w:pPr>
        <w:pStyle w:val="Paragrafoelenco"/>
        <w:numPr>
          <w:ilvl w:val="0"/>
          <w:numId w:val="10"/>
        </w:numPr>
        <w:tabs>
          <w:tab w:val="left" w:pos="284"/>
        </w:tabs>
        <w:ind w:left="426" w:hanging="426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 presente Autorizzazione:</w:t>
      </w:r>
    </w:p>
    <w:p w:rsidR="00FF3E19" w:rsidRPr="00074920" w:rsidRDefault="00911632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 xml:space="preserve">è soggetta a Revoca o Sospensione nei casi, per i motivi e alle condizioni stabiliti dall’art. 13 e 13 bis del vigente “Regolamento per la realizzazione dei </w:t>
      </w:r>
      <w:proofErr w:type="spellStart"/>
      <w:r w:rsidRPr="00074920">
        <w:rPr>
          <w:rFonts w:ascii="Century Gothic" w:hAnsi="Century Gothic"/>
          <w:i/>
          <w:sz w:val="22"/>
          <w:szCs w:val="22"/>
        </w:rPr>
        <w:t>dehors</w:t>
      </w:r>
      <w:proofErr w:type="spellEnd"/>
      <w:r w:rsidRPr="00074920">
        <w:rPr>
          <w:rFonts w:ascii="Century Gothic" w:hAnsi="Century Gothic"/>
          <w:i/>
          <w:sz w:val="22"/>
          <w:szCs w:val="22"/>
        </w:rPr>
        <w:t xml:space="preserve"> stagionali e permanenti”;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b/>
          <w:i/>
          <w:sz w:val="22"/>
          <w:szCs w:val="22"/>
          <w:u w:val="single"/>
        </w:rPr>
        <w:t>ha validità cinque anni dalla data del rilascio</w:t>
      </w:r>
      <w:r w:rsidR="00613CE5">
        <w:rPr>
          <w:rFonts w:ascii="Century Gothic" w:hAnsi="Century Gothic"/>
          <w:b/>
          <w:i/>
          <w:sz w:val="22"/>
          <w:szCs w:val="22"/>
          <w:u w:val="single"/>
        </w:rPr>
        <w:t xml:space="preserve"> </w:t>
      </w:r>
      <w:r w:rsidR="001630DE">
        <w:rPr>
          <w:rFonts w:ascii="Century Gothic" w:hAnsi="Century Gothic"/>
          <w:b/>
          <w:i/>
          <w:sz w:val="22"/>
          <w:szCs w:val="22"/>
          <w:u w:val="single"/>
        </w:rPr>
        <w:t xml:space="preserve">del titolo originario </w:t>
      </w:r>
      <w:r w:rsidR="00613CE5" w:rsidRPr="00613CE5">
        <w:rPr>
          <w:rFonts w:ascii="Century Gothic" w:hAnsi="Century Gothic"/>
          <w:b/>
          <w:i/>
          <w:sz w:val="22"/>
          <w:szCs w:val="22"/>
          <w:highlight w:val="yellow"/>
          <w:u w:val="single"/>
        </w:rPr>
        <w:t>(data)</w:t>
      </w:r>
      <w:r w:rsidRPr="00074920">
        <w:rPr>
          <w:rFonts w:ascii="Century Gothic" w:hAnsi="Century Gothic"/>
          <w:i/>
          <w:sz w:val="22"/>
          <w:szCs w:val="22"/>
        </w:rPr>
        <w:t>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viene rilasciata fatti salvi i diritti di terzi, tra cui il Comune in qualità di Ente patrimoniale;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non può essere sub-concessa, ceduta anche parzialmente né data in comodato, anche a titolo gratuito, pena la revoca della concessione stessa;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b/>
          <w:i/>
          <w:sz w:val="22"/>
          <w:szCs w:val="22"/>
          <w:u w:val="single"/>
        </w:rPr>
        <w:t>è automaticamente rinnovata per l’anno successivo</w:t>
      </w:r>
      <w:r w:rsidRPr="00074920">
        <w:rPr>
          <w:rFonts w:ascii="Century Gothic" w:hAnsi="Century Gothic"/>
          <w:i/>
          <w:sz w:val="22"/>
          <w:szCs w:val="22"/>
        </w:rPr>
        <w:t xml:space="preserve">, qualora non venga comunicata disdetta, mediante PEC, </w:t>
      </w:r>
      <w:r w:rsidRPr="00074920">
        <w:rPr>
          <w:rFonts w:ascii="Century Gothic" w:hAnsi="Century Gothic"/>
          <w:b/>
          <w:i/>
          <w:sz w:val="22"/>
          <w:szCs w:val="22"/>
          <w:u w:val="single"/>
        </w:rPr>
        <w:t>entro il 30 novembre dell’anno in corso</w:t>
      </w:r>
      <w:r w:rsidRPr="00074920">
        <w:rPr>
          <w:rFonts w:ascii="Century Gothic" w:hAnsi="Century Gothic"/>
          <w:i/>
          <w:sz w:val="22"/>
          <w:szCs w:val="22"/>
        </w:rPr>
        <w:t>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sarà revocata in caso di usi diversi da quanto sopra precisato.</w:t>
      </w:r>
    </w:p>
    <w:p w:rsidR="00911632" w:rsidRPr="00143423" w:rsidRDefault="00911632" w:rsidP="00074920">
      <w:pPr>
        <w:pStyle w:val="Paragrafoelenco"/>
        <w:numPr>
          <w:ilvl w:val="0"/>
          <w:numId w:val="10"/>
        </w:numPr>
        <w:tabs>
          <w:tab w:val="left" w:pos="426"/>
        </w:tabs>
        <w:ind w:left="426" w:hanging="426"/>
        <w:jc w:val="both"/>
        <w:rPr>
          <w:rFonts w:ascii="Century Gothic" w:hAnsi="Century Gothic"/>
          <w:sz w:val="22"/>
          <w:szCs w:val="22"/>
        </w:rPr>
      </w:pPr>
      <w:r w:rsidRPr="00143423">
        <w:rPr>
          <w:rFonts w:ascii="Century Gothic" w:hAnsi="Century Gothic"/>
          <w:sz w:val="22"/>
          <w:szCs w:val="22"/>
        </w:rPr>
        <w:t xml:space="preserve">In caso di violazioni si applicano le disposizioni contenute di cui all’art. 12 del vigente “Regolamento per la realizzazione dei </w:t>
      </w:r>
      <w:proofErr w:type="spellStart"/>
      <w:r w:rsidRPr="00143423">
        <w:rPr>
          <w:rFonts w:ascii="Century Gothic" w:hAnsi="Century Gothic"/>
          <w:sz w:val="22"/>
          <w:szCs w:val="22"/>
        </w:rPr>
        <w:t>dehors</w:t>
      </w:r>
      <w:proofErr w:type="spellEnd"/>
      <w:r w:rsidRPr="00143423">
        <w:rPr>
          <w:rFonts w:ascii="Century Gothic" w:hAnsi="Century Gothic"/>
          <w:sz w:val="22"/>
          <w:szCs w:val="22"/>
        </w:rPr>
        <w:t xml:space="preserve"> stagionali e permanenti”: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è applicata una sanzione amministrativa pecuniaria da un minimo di euro 100 (cento/00) ad un massimo d</w:t>
      </w:r>
      <w:r w:rsidR="00143423" w:rsidRPr="00074920">
        <w:rPr>
          <w:rFonts w:ascii="Century Gothic" w:hAnsi="Century Gothic"/>
          <w:i/>
          <w:sz w:val="22"/>
          <w:szCs w:val="22"/>
        </w:rPr>
        <w:t>i euro 500,00 (cinquecento/00);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 xml:space="preserve">qualora la violazione si protragga nel tempo, le sanzioni amministrative pecuniarie previste dal presente articolo si applicano per ciascun giorno di calendario in caso di occupazioni con sedie e tavoli, e per ciascuna settimana di calendario in caso di occupazioni </w:t>
      </w:r>
      <w:r w:rsidR="00143423" w:rsidRPr="00074920">
        <w:rPr>
          <w:rFonts w:ascii="Century Gothic" w:hAnsi="Century Gothic"/>
          <w:i/>
          <w:sz w:val="22"/>
          <w:szCs w:val="22"/>
        </w:rPr>
        <w:t>con strutture fisse permanenti;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qualora lo stesso soggetto sia incorso in tre delle violazioni previste dal presente regolamento, in un periodo di 12 mesi de</w:t>
      </w:r>
      <w:r w:rsidR="00200005" w:rsidRPr="00074920">
        <w:rPr>
          <w:rFonts w:ascii="Century Gothic" w:hAnsi="Century Gothic"/>
          <w:i/>
          <w:sz w:val="22"/>
          <w:szCs w:val="22"/>
        </w:rPr>
        <w:t>correnti dalla prima violazione</w:t>
      </w:r>
      <w:r w:rsidRPr="00074920">
        <w:rPr>
          <w:rFonts w:ascii="Century Gothic" w:hAnsi="Century Gothic"/>
          <w:i/>
          <w:sz w:val="22"/>
          <w:szCs w:val="22"/>
        </w:rPr>
        <w:t>, all’ultima infrazione consegue la sanzione accessoria della sospensione della concessione per 15 giorni</w:t>
      </w:r>
      <w:r w:rsidR="00200005" w:rsidRPr="00074920">
        <w:rPr>
          <w:rFonts w:ascii="Century Gothic" w:hAnsi="Century Gothic"/>
          <w:i/>
          <w:sz w:val="22"/>
          <w:szCs w:val="22"/>
        </w:rPr>
        <w:t>.</w:t>
      </w:r>
    </w:p>
    <w:p w:rsidR="00FF3E19" w:rsidRPr="006A100B" w:rsidRDefault="00FF3E19" w:rsidP="00AB7432">
      <w:pPr>
        <w:jc w:val="both"/>
        <w:rPr>
          <w:rFonts w:ascii="Century Gothic" w:hAnsi="Century Gothic"/>
          <w:b/>
          <w:sz w:val="22"/>
          <w:szCs w:val="22"/>
        </w:rPr>
      </w:pPr>
    </w:p>
    <w:p w:rsidR="00496B88" w:rsidRPr="006A100B" w:rsidRDefault="00911632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</w:rPr>
      </w:pPr>
      <w:r w:rsidRPr="006A100B">
        <w:rPr>
          <w:rFonts w:ascii="Century Gothic" w:hAnsi="Century Gothic"/>
          <w:b/>
          <w:sz w:val="22"/>
          <w:szCs w:val="22"/>
        </w:rPr>
        <w:lastRenderedPageBreak/>
        <w:t>L</w:t>
      </w:r>
      <w:r w:rsidR="00760A91" w:rsidRPr="006A100B">
        <w:rPr>
          <w:rFonts w:ascii="Century Gothic" w:hAnsi="Century Gothic"/>
          <w:b/>
          <w:sz w:val="22"/>
          <w:szCs w:val="22"/>
        </w:rPr>
        <w:t>’A</w:t>
      </w:r>
      <w:r w:rsidRPr="006A100B">
        <w:rPr>
          <w:rFonts w:ascii="Century Gothic" w:hAnsi="Century Gothic"/>
          <w:b/>
          <w:sz w:val="22"/>
          <w:szCs w:val="22"/>
        </w:rPr>
        <w:t xml:space="preserve">utorizzazione ha validità ed efficacia </w:t>
      </w:r>
      <w:r w:rsidR="00A957A8" w:rsidRPr="006A100B">
        <w:rPr>
          <w:rFonts w:ascii="Century Gothic" w:hAnsi="Century Gothic"/>
          <w:b/>
          <w:sz w:val="22"/>
          <w:szCs w:val="22"/>
        </w:rPr>
        <w:t>dalla data di sottoscrizione da parte del Dirigente ed è subordinata alla corresponsione della TOSAP che dovrà essere effettuata entro 30 giorni dal rilascio del presente provvedimento.</w:t>
      </w:r>
    </w:p>
    <w:p w:rsidR="00891F68" w:rsidRPr="006A100B" w:rsidRDefault="00891F68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  <w:highlight w:val="yellow"/>
        </w:rPr>
      </w:pPr>
    </w:p>
    <w:p w:rsidR="00496B88" w:rsidRPr="006A100B" w:rsidRDefault="000738F3" w:rsidP="00891F68">
      <w:pPr>
        <w:ind w:firstLine="708"/>
        <w:rPr>
          <w:rFonts w:ascii="Century Gothic" w:hAnsi="Century Gothic"/>
          <w:i/>
          <w:sz w:val="22"/>
          <w:szCs w:val="22"/>
        </w:rPr>
      </w:pPr>
      <w:r w:rsidRPr="006A100B">
        <w:rPr>
          <w:rFonts w:ascii="Century Gothic" w:hAnsi="Century Gothic"/>
          <w:i/>
          <w:sz w:val="22"/>
          <w:szCs w:val="22"/>
        </w:rPr>
        <w:t>Sanremo,</w:t>
      </w:r>
      <w:r w:rsidR="00760A91" w:rsidRPr="006A100B">
        <w:rPr>
          <w:rFonts w:ascii="Century Gothic" w:hAnsi="Century Gothic"/>
          <w:i/>
          <w:sz w:val="22"/>
          <w:szCs w:val="22"/>
        </w:rPr>
        <w:t xml:space="preserve"> </w:t>
      </w:r>
    </w:p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CD7A0E" w:rsidRPr="006A100B">
        <w:tc>
          <w:tcPr>
            <w:tcW w:w="4889" w:type="dxa"/>
          </w:tcPr>
          <w:p w:rsidR="00CD7A0E" w:rsidRPr="006A100B" w:rsidRDefault="00CD7A0E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4889" w:type="dxa"/>
          </w:tcPr>
          <w:p w:rsidR="00CD7A0E" w:rsidRPr="00256686" w:rsidRDefault="00CD7A0E" w:rsidP="000D7101">
            <w:pPr>
              <w:jc w:val="center"/>
              <w:rPr>
                <w:rFonts w:ascii="Century Gothic" w:hAnsi="Century Gothic"/>
                <w:b/>
              </w:rPr>
            </w:pPr>
            <w:r w:rsidRPr="00256686">
              <w:rPr>
                <w:rFonts w:ascii="Century Gothic" w:hAnsi="Century Gothic"/>
                <w:b/>
                <w:sz w:val="22"/>
                <w:szCs w:val="22"/>
              </w:rPr>
              <w:t>IL DIRIGENTE</w:t>
            </w:r>
          </w:p>
        </w:tc>
      </w:tr>
      <w:tr w:rsidR="00CD7A0E" w:rsidRPr="006A100B">
        <w:tc>
          <w:tcPr>
            <w:tcW w:w="4889" w:type="dxa"/>
          </w:tcPr>
          <w:p w:rsidR="00CD7A0E" w:rsidRPr="006A100B" w:rsidRDefault="00CD7A0E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889" w:type="dxa"/>
          </w:tcPr>
          <w:p w:rsidR="00CD7A0E" w:rsidRDefault="00CD7A0E" w:rsidP="000D7101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256686">
              <w:rPr>
                <w:rFonts w:ascii="Century Gothic" w:hAnsi="Century Gothic"/>
                <w:i/>
                <w:sz w:val="22"/>
                <w:szCs w:val="22"/>
              </w:rPr>
              <w:t>[dirigente]</w:t>
            </w:r>
          </w:p>
          <w:p w:rsidR="00CD7A0E" w:rsidRPr="00CD7A0E" w:rsidRDefault="00CD7A0E" w:rsidP="000D7101">
            <w:pPr>
              <w:jc w:val="center"/>
              <w:rPr>
                <w:rFonts w:ascii="Century Gothic" w:hAnsi="Century Gothic"/>
                <w:i/>
                <w:sz w:val="10"/>
                <w:szCs w:val="22"/>
              </w:rPr>
            </w:pPr>
          </w:p>
          <w:p w:rsidR="00CD7A0E" w:rsidRPr="009F5B03" w:rsidRDefault="00CD7A0E" w:rsidP="00CD7A0E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CD7A0E" w:rsidRPr="00256686" w:rsidRDefault="00CD7A0E" w:rsidP="00CD7A0E">
            <w:pPr>
              <w:jc w:val="center"/>
              <w:rPr>
                <w:rFonts w:ascii="Century Gothic" w:hAnsi="Century Gothic"/>
                <w:i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</w:tr>
    </w:tbl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sectPr w:rsidR="00496B88" w:rsidRPr="006A100B" w:rsidSect="008E28F1">
      <w:pgSz w:w="11906" w:h="16838"/>
      <w:pgMar w:top="85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C51" w:rsidRDefault="00E36C51" w:rsidP="0088202B">
      <w:r>
        <w:separator/>
      </w:r>
    </w:p>
  </w:endnote>
  <w:endnote w:type="continuationSeparator" w:id="0">
    <w:p w:rsidR="00E36C51" w:rsidRDefault="00E36C51" w:rsidP="0088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C51" w:rsidRDefault="00E36C51" w:rsidP="0088202B">
      <w:r>
        <w:separator/>
      </w:r>
    </w:p>
  </w:footnote>
  <w:footnote w:type="continuationSeparator" w:id="0">
    <w:p w:rsidR="00E36C51" w:rsidRDefault="00E36C51" w:rsidP="0088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A70C"/>
      </v:shape>
    </w:pict>
  </w:numPicBullet>
  <w:abstractNum w:abstractNumId="0">
    <w:nsid w:val="005D2279"/>
    <w:multiLevelType w:val="hybridMultilevel"/>
    <w:tmpl w:val="4A564B2C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E2C24"/>
    <w:multiLevelType w:val="hybridMultilevel"/>
    <w:tmpl w:val="24A8BFC4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33115"/>
    <w:multiLevelType w:val="hybridMultilevel"/>
    <w:tmpl w:val="42845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E6A2B"/>
    <w:multiLevelType w:val="hybridMultilevel"/>
    <w:tmpl w:val="627E00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E7D86"/>
    <w:multiLevelType w:val="multilevel"/>
    <w:tmpl w:val="9390A1C2"/>
    <w:lvl w:ilvl="0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74609B4"/>
    <w:multiLevelType w:val="hybridMultilevel"/>
    <w:tmpl w:val="EE9EA2E4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C45BD"/>
    <w:multiLevelType w:val="hybridMultilevel"/>
    <w:tmpl w:val="3ECEF958"/>
    <w:lvl w:ilvl="0" w:tplc="635C50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635B3"/>
    <w:multiLevelType w:val="hybridMultilevel"/>
    <w:tmpl w:val="ACCA6996"/>
    <w:lvl w:ilvl="0" w:tplc="BE763556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A4181E"/>
    <w:multiLevelType w:val="hybridMultilevel"/>
    <w:tmpl w:val="FE4893F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63016C"/>
    <w:multiLevelType w:val="multilevel"/>
    <w:tmpl w:val="6A465F9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69D58C5"/>
    <w:multiLevelType w:val="hybridMultilevel"/>
    <w:tmpl w:val="9DDA3B18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8A2789"/>
    <w:multiLevelType w:val="hybridMultilevel"/>
    <w:tmpl w:val="8668E5C8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6C386F85"/>
    <w:multiLevelType w:val="hybridMultilevel"/>
    <w:tmpl w:val="FBEE72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987BCA"/>
    <w:multiLevelType w:val="hybridMultilevel"/>
    <w:tmpl w:val="82EC1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BF2442"/>
    <w:multiLevelType w:val="hybridMultilevel"/>
    <w:tmpl w:val="09BCC7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FC2D97"/>
    <w:multiLevelType w:val="hybridMultilevel"/>
    <w:tmpl w:val="5762A6E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63567F"/>
    <w:multiLevelType w:val="hybridMultilevel"/>
    <w:tmpl w:val="070A83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270EC6"/>
    <w:multiLevelType w:val="hybridMultilevel"/>
    <w:tmpl w:val="D91830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9"/>
  </w:num>
  <w:num w:numId="5">
    <w:abstractNumId w:val="23"/>
  </w:num>
  <w:num w:numId="6">
    <w:abstractNumId w:val="12"/>
  </w:num>
  <w:num w:numId="7">
    <w:abstractNumId w:val="13"/>
  </w:num>
  <w:num w:numId="8">
    <w:abstractNumId w:val="6"/>
  </w:num>
  <w:num w:numId="9">
    <w:abstractNumId w:val="2"/>
  </w:num>
  <w:num w:numId="10">
    <w:abstractNumId w:val="21"/>
  </w:num>
  <w:num w:numId="11">
    <w:abstractNumId w:val="18"/>
  </w:num>
  <w:num w:numId="12">
    <w:abstractNumId w:val="20"/>
  </w:num>
  <w:num w:numId="13">
    <w:abstractNumId w:val="19"/>
  </w:num>
  <w:num w:numId="14">
    <w:abstractNumId w:val="3"/>
  </w:num>
  <w:num w:numId="15">
    <w:abstractNumId w:val="0"/>
  </w:num>
  <w:num w:numId="16">
    <w:abstractNumId w:val="24"/>
  </w:num>
  <w:num w:numId="17">
    <w:abstractNumId w:val="10"/>
  </w:num>
  <w:num w:numId="18">
    <w:abstractNumId w:val="17"/>
  </w:num>
  <w:num w:numId="19">
    <w:abstractNumId w:val="1"/>
  </w:num>
  <w:num w:numId="20">
    <w:abstractNumId w:val="14"/>
  </w:num>
  <w:num w:numId="21">
    <w:abstractNumId w:val="22"/>
  </w:num>
  <w:num w:numId="22">
    <w:abstractNumId w:val="16"/>
  </w:num>
  <w:num w:numId="23">
    <w:abstractNumId w:val="5"/>
  </w:num>
  <w:num w:numId="24">
    <w:abstractNumId w:val="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31EC4"/>
    <w:rsid w:val="000359D3"/>
    <w:rsid w:val="00044918"/>
    <w:rsid w:val="00051343"/>
    <w:rsid w:val="0005382B"/>
    <w:rsid w:val="000738F3"/>
    <w:rsid w:val="00074920"/>
    <w:rsid w:val="00080514"/>
    <w:rsid w:val="00082055"/>
    <w:rsid w:val="00094299"/>
    <w:rsid w:val="000A0405"/>
    <w:rsid w:val="000B1060"/>
    <w:rsid w:val="000B7354"/>
    <w:rsid w:val="000C3082"/>
    <w:rsid w:val="000C47B2"/>
    <w:rsid w:val="000D3CC6"/>
    <w:rsid w:val="000F202E"/>
    <w:rsid w:val="000F36CB"/>
    <w:rsid w:val="00110FAF"/>
    <w:rsid w:val="001350D3"/>
    <w:rsid w:val="00142427"/>
    <w:rsid w:val="00143423"/>
    <w:rsid w:val="001630DE"/>
    <w:rsid w:val="00166B4B"/>
    <w:rsid w:val="00185CC1"/>
    <w:rsid w:val="00185D45"/>
    <w:rsid w:val="001B7809"/>
    <w:rsid w:val="001E1725"/>
    <w:rsid w:val="00200005"/>
    <w:rsid w:val="00237AB5"/>
    <w:rsid w:val="00243147"/>
    <w:rsid w:val="00273CCB"/>
    <w:rsid w:val="00274F43"/>
    <w:rsid w:val="002857F3"/>
    <w:rsid w:val="002B0CCC"/>
    <w:rsid w:val="002C1E93"/>
    <w:rsid w:val="002C36B7"/>
    <w:rsid w:val="00320372"/>
    <w:rsid w:val="00334615"/>
    <w:rsid w:val="003539D8"/>
    <w:rsid w:val="00380EB9"/>
    <w:rsid w:val="003822AF"/>
    <w:rsid w:val="003A785C"/>
    <w:rsid w:val="003B0408"/>
    <w:rsid w:val="003C0A81"/>
    <w:rsid w:val="003E5849"/>
    <w:rsid w:val="003F1B40"/>
    <w:rsid w:val="004266B6"/>
    <w:rsid w:val="0043445C"/>
    <w:rsid w:val="0044288D"/>
    <w:rsid w:val="00460D82"/>
    <w:rsid w:val="00460E5B"/>
    <w:rsid w:val="00471DC2"/>
    <w:rsid w:val="004722A8"/>
    <w:rsid w:val="00474BF8"/>
    <w:rsid w:val="00495B08"/>
    <w:rsid w:val="00496B88"/>
    <w:rsid w:val="005115B0"/>
    <w:rsid w:val="00544064"/>
    <w:rsid w:val="00547DFD"/>
    <w:rsid w:val="00573AC8"/>
    <w:rsid w:val="00574312"/>
    <w:rsid w:val="00587881"/>
    <w:rsid w:val="00595194"/>
    <w:rsid w:val="005D4135"/>
    <w:rsid w:val="005E279E"/>
    <w:rsid w:val="006101C2"/>
    <w:rsid w:val="006101E0"/>
    <w:rsid w:val="00613CE5"/>
    <w:rsid w:val="006170E3"/>
    <w:rsid w:val="0063288D"/>
    <w:rsid w:val="006419BA"/>
    <w:rsid w:val="00643B76"/>
    <w:rsid w:val="006469D8"/>
    <w:rsid w:val="00654971"/>
    <w:rsid w:val="0067086A"/>
    <w:rsid w:val="006764BB"/>
    <w:rsid w:val="0069724F"/>
    <w:rsid w:val="006972B9"/>
    <w:rsid w:val="006A100B"/>
    <w:rsid w:val="006D24E9"/>
    <w:rsid w:val="006E50F8"/>
    <w:rsid w:val="006F72A5"/>
    <w:rsid w:val="00721CE7"/>
    <w:rsid w:val="00746014"/>
    <w:rsid w:val="00756611"/>
    <w:rsid w:val="007569D5"/>
    <w:rsid w:val="00760A91"/>
    <w:rsid w:val="00787331"/>
    <w:rsid w:val="007978E3"/>
    <w:rsid w:val="007B7BF7"/>
    <w:rsid w:val="007D6FFF"/>
    <w:rsid w:val="007F127E"/>
    <w:rsid w:val="007F2001"/>
    <w:rsid w:val="00811C95"/>
    <w:rsid w:val="00816A96"/>
    <w:rsid w:val="008175A2"/>
    <w:rsid w:val="008239E1"/>
    <w:rsid w:val="00855E6C"/>
    <w:rsid w:val="00861776"/>
    <w:rsid w:val="00867953"/>
    <w:rsid w:val="00875D17"/>
    <w:rsid w:val="0088202B"/>
    <w:rsid w:val="00886A20"/>
    <w:rsid w:val="00891F68"/>
    <w:rsid w:val="008D70B7"/>
    <w:rsid w:val="008E28F1"/>
    <w:rsid w:val="008F2DFF"/>
    <w:rsid w:val="00911632"/>
    <w:rsid w:val="00914E7A"/>
    <w:rsid w:val="00925C51"/>
    <w:rsid w:val="00964E09"/>
    <w:rsid w:val="009A6391"/>
    <w:rsid w:val="009A67A8"/>
    <w:rsid w:val="009C3A84"/>
    <w:rsid w:val="009E768A"/>
    <w:rsid w:val="009F6F59"/>
    <w:rsid w:val="00A076F1"/>
    <w:rsid w:val="00A10A6D"/>
    <w:rsid w:val="00A51A12"/>
    <w:rsid w:val="00A81976"/>
    <w:rsid w:val="00A92CA9"/>
    <w:rsid w:val="00A957A8"/>
    <w:rsid w:val="00AA6815"/>
    <w:rsid w:val="00AB7432"/>
    <w:rsid w:val="00AC7816"/>
    <w:rsid w:val="00AD6773"/>
    <w:rsid w:val="00AE225D"/>
    <w:rsid w:val="00B3012B"/>
    <w:rsid w:val="00B33B73"/>
    <w:rsid w:val="00B41406"/>
    <w:rsid w:val="00B4396B"/>
    <w:rsid w:val="00B545D3"/>
    <w:rsid w:val="00B56922"/>
    <w:rsid w:val="00B86D91"/>
    <w:rsid w:val="00B91ED7"/>
    <w:rsid w:val="00B93910"/>
    <w:rsid w:val="00B9476B"/>
    <w:rsid w:val="00B97352"/>
    <w:rsid w:val="00B97D99"/>
    <w:rsid w:val="00BB51A8"/>
    <w:rsid w:val="00BD63E4"/>
    <w:rsid w:val="00BF6BAD"/>
    <w:rsid w:val="00C43702"/>
    <w:rsid w:val="00C51014"/>
    <w:rsid w:val="00C57FC2"/>
    <w:rsid w:val="00C70029"/>
    <w:rsid w:val="00C7050C"/>
    <w:rsid w:val="00C72FAD"/>
    <w:rsid w:val="00C94458"/>
    <w:rsid w:val="00CB7522"/>
    <w:rsid w:val="00CC2597"/>
    <w:rsid w:val="00CC5D46"/>
    <w:rsid w:val="00CD771A"/>
    <w:rsid w:val="00CD7A0E"/>
    <w:rsid w:val="00CE1F11"/>
    <w:rsid w:val="00CF3CDB"/>
    <w:rsid w:val="00D25A65"/>
    <w:rsid w:val="00D3299C"/>
    <w:rsid w:val="00D72BFE"/>
    <w:rsid w:val="00D74E61"/>
    <w:rsid w:val="00D83FF8"/>
    <w:rsid w:val="00DA7F1C"/>
    <w:rsid w:val="00DD1394"/>
    <w:rsid w:val="00DE4832"/>
    <w:rsid w:val="00E14CA0"/>
    <w:rsid w:val="00E30CA5"/>
    <w:rsid w:val="00E32711"/>
    <w:rsid w:val="00E36C51"/>
    <w:rsid w:val="00EB03FC"/>
    <w:rsid w:val="00EB5271"/>
    <w:rsid w:val="00ED0615"/>
    <w:rsid w:val="00F1007D"/>
    <w:rsid w:val="00F27EC6"/>
    <w:rsid w:val="00F32CEE"/>
    <w:rsid w:val="00F35223"/>
    <w:rsid w:val="00FB0D0C"/>
    <w:rsid w:val="00FD6BC3"/>
    <w:rsid w:val="00FF1283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237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  <w:style w:type="table" w:styleId="Grigliatabella">
    <w:name w:val="Table Grid"/>
    <w:basedOn w:val="Tabellanormale"/>
    <w:uiPriority w:val="59"/>
    <w:rsid w:val="008E28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  <w:style w:type="table" w:styleId="Grigliatabella">
    <w:name w:val="Table Grid"/>
    <w:basedOn w:val="Tabellanormale"/>
    <w:uiPriority w:val="59"/>
    <w:rsid w:val="008E28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sparenza.comunedisanremo.it/archiviofile/sanremo/utente2923/archivio_file/dich_per_marca_da_bollo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uap.comune.sanremo@legalmail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TU.dotx</Template>
  <TotalTime>4</TotalTime>
  <Pages>3</Pages>
  <Words>786</Words>
  <Characters>5150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6</cp:revision>
  <cp:lastPrinted>2014-11-11T09:12:00Z</cp:lastPrinted>
  <dcterms:created xsi:type="dcterms:W3CDTF">2019-08-07T13:23:00Z</dcterms:created>
  <dcterms:modified xsi:type="dcterms:W3CDTF">2019-08-07T13:48:00Z</dcterms:modified>
</cp:coreProperties>
</file>