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tabs>
          <w:tab w:val="center" w:pos="4819" w:leader="none"/>
          <w:tab w:val="left" w:pos="9638" w:leader="none"/>
        </w:tabs>
        <w:ind w:right="-1" w:hanging="0"/>
        <w:jc w:val="center"/>
        <w:rPr>
          <w:rFonts w:cs="Arial"/>
          <w:b/>
          <w:b/>
          <w:i/>
          <w:i/>
          <w:color w:val="000099"/>
          <w:sz w:val="22"/>
        </w:rPr>
      </w:pPr>
      <w:r>
        <w:rPr/>
        <w:drawing>
          <wp:inline distT="0" distB="0" distL="0" distR="0">
            <wp:extent cx="1764665" cy="7772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testazione"/>
        <w:tabs>
          <w:tab w:val="center" w:pos="4819" w:leader="none"/>
          <w:tab w:val="left" w:pos="9638" w:leader="none"/>
        </w:tabs>
        <w:ind w:right="-1" w:hanging="0"/>
        <w:jc w:val="center"/>
        <w:rPr>
          <w:rFonts w:cs="Arial"/>
          <w:b/>
          <w:b/>
          <w:i/>
          <w:i/>
          <w:color w:val="000099"/>
          <w:sz w:val="22"/>
        </w:rPr>
      </w:pPr>
      <w:r>
        <w:rPr>
          <w:rFonts w:cs="Arial"/>
          <w:b/>
          <w:i/>
          <w:color w:val="000099"/>
          <w:sz w:val="22"/>
        </w:rPr>
        <w:t>SETTORE SERVIZI ALLE IMPRESE, AL TERRITORIO E SVILUPPO SOSTENIBILE</w:t>
      </w:r>
    </w:p>
    <w:p>
      <w:pPr>
        <w:pStyle w:val="Intestazione"/>
        <w:tabs>
          <w:tab w:val="center" w:pos="4819" w:leader="none"/>
          <w:tab w:val="left" w:pos="9638" w:leader="none"/>
        </w:tabs>
        <w:ind w:right="-1" w:hanging="0"/>
        <w:jc w:val="center"/>
        <w:rPr>
          <w:rFonts w:cs="Arial"/>
          <w:b/>
          <w:b/>
          <w:color w:val="000099"/>
        </w:rPr>
      </w:pPr>
      <w:r>
        <w:rPr>
          <w:rFonts w:cs="Arial"/>
          <w:b/>
          <w:color w:val="000099"/>
        </w:rPr>
        <w:t>SPORTELLO UNICO PER L’EDILIZIA</w:t>
      </w:r>
    </w:p>
    <w:p>
      <w:pPr>
        <w:pStyle w:val="Normal"/>
        <w:widowControl w:val="false"/>
        <w:tabs>
          <w:tab w:val="left" w:pos="9638" w:leader="none"/>
        </w:tabs>
        <w:ind w:right="-1" w:hanging="0"/>
        <w:jc w:val="center"/>
        <w:rPr>
          <w:rFonts w:ascii="Arial" w:hAnsi="Arial" w:cs="Arial"/>
          <w:i/>
          <w:i/>
          <w:color w:val="000099"/>
        </w:rPr>
      </w:pPr>
      <w:r>
        <w:rPr>
          <w:rFonts w:cs="Arial" w:ascii="Arial" w:hAnsi="Arial"/>
          <w:i/>
          <w:color w:val="000099"/>
        </w:rPr>
        <w:t xml:space="preserve">C.so Cavallotti 59 – 18038 Sanremo (IM) - PEC: </w:t>
      </w:r>
      <w:r>
        <w:rPr>
          <w:rFonts w:cs="Arial" w:ascii="Arial" w:hAnsi="Arial"/>
          <w:i/>
          <w:color w:val="000099"/>
          <w:u w:val="single"/>
        </w:rPr>
        <w:t>sue.comune.sanremo@legalmail.it</w:t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tbl>
      <w:tblPr>
        <w:tblW w:w="9753" w:type="dxa"/>
        <w:jc w:val="left"/>
        <w:tblInd w:w="-15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top w:w="0" w:type="dxa"/>
          <w:left w:w="-5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6111"/>
        <w:gridCol w:w="3641"/>
      </w:tblGrid>
      <w:tr>
        <w:trPr>
          <w:trHeight w:val="1733" w:hRule="atLeast"/>
          <w:cantSplit w:val="true"/>
        </w:trPr>
        <w:tc>
          <w:tcPr>
            <w:tcW w:w="61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left" w:pos="477" w:leader="none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i/>
                <w:i/>
                <w:color w:val="000080"/>
              </w:rPr>
            </w:pPr>
            <w:r>
              <w:rPr>
                <w:rFonts w:cs="Arial" w:ascii="Arial" w:hAnsi="Arial"/>
                <w:b/>
                <w:i/>
                <w:color w:val="000080"/>
              </w:rPr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/>
              <w:jc w:val="center"/>
              <w:rPr>
                <w:rFonts w:ascii="Arial" w:hAnsi="Arial" w:cs="Arial"/>
                <w:b/>
                <w:b/>
                <w:i/>
                <w:i/>
                <w:color w:val="000080"/>
                <w:sz w:val="32"/>
              </w:rPr>
            </w:pPr>
            <w:r>
              <w:rPr>
                <w:rFonts w:cs="Arial" w:ascii="Arial" w:hAnsi="Arial"/>
                <w:b/>
                <w:i/>
                <w:color w:val="000080"/>
                <w:sz w:val="32"/>
              </w:rPr>
              <w:t>PERMESSO DI COSTRUIRE</w:t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 w:before="240" w:after="0"/>
              <w:jc w:val="center"/>
              <w:rPr>
                <w:rFonts w:ascii="Arial" w:hAnsi="Arial" w:cs="Arial"/>
                <w:i/>
                <w:i/>
                <w:color w:val="000080"/>
              </w:rPr>
            </w:pPr>
            <w:r>
              <w:rPr>
                <w:rFonts w:cs="Arial" w:ascii="Arial" w:hAnsi="Arial"/>
                <w:b/>
                <w:i/>
                <w:color w:val="000080"/>
                <w:sz w:val="28"/>
                <w:szCs w:val="24"/>
              </w:rPr>
              <w:t>[numero]</w:t>
            </w:r>
            <w:r>
              <w:rPr>
                <w:rFonts w:cs="Arial" w:ascii="Arial" w:hAnsi="Arial"/>
                <w:i/>
                <w:color w:val="000080"/>
                <w:sz w:val="28"/>
                <w:szCs w:val="24"/>
              </w:rPr>
              <w:t xml:space="preserve"> </w:t>
            </w:r>
            <w:r>
              <w:rPr>
                <w:rFonts w:cs="Arial" w:ascii="Arial" w:hAnsi="Arial"/>
                <w:i/>
                <w:color w:val="000080"/>
              </w:rPr>
              <w:t>rilasciato il __________________</w:t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 w:before="240" w:after="0"/>
              <w:jc w:val="center"/>
              <w:rPr>
                <w:rFonts w:ascii="Arial" w:hAnsi="Arial" w:cs="Arial"/>
                <w:i/>
                <w:i/>
                <w:color w:val="000080"/>
              </w:rPr>
            </w:pPr>
            <w:r>
              <w:rPr>
                <w:rFonts w:cs="Arial" w:ascii="Arial" w:hAnsi="Arial"/>
                <w:i/>
                <w:color w:val="000080"/>
              </w:rPr>
            </w:r>
          </w:p>
        </w:tc>
        <w:tc>
          <w:tcPr>
            <w:tcW w:w="36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  <w:insideH w:val="single" w:sz="4" w:space="0" w:color="000080"/>
              <w:insideV w:val="single" w:sz="4" w:space="0" w:color="000080"/>
            </w:tcBorders>
            <w:shd w:color="auto" w:fill="FFFFFF" w:val="clear"/>
            <w:tcMar>
              <w:left w:w="93" w:type="dxa"/>
              <w:right w:w="113" w:type="dxa"/>
            </w:tcMar>
          </w:tcPr>
          <w:p>
            <w:pPr>
              <w:pStyle w:val="Normal"/>
              <w:tabs>
                <w:tab w:val="left" w:pos="477" w:leader="none"/>
              </w:tabs>
              <w:spacing w:lineRule="auto" w:line="360"/>
              <w:jc w:val="both"/>
              <w:rPr>
                <w:rFonts w:ascii="Arial" w:hAnsi="Arial" w:cs="Arial"/>
                <w:i/>
                <w:i/>
                <w:color w:val="000080"/>
              </w:rPr>
            </w:pPr>
            <w:r>
              <w:rPr>
                <w:rFonts w:cs="Arial" w:ascii="Arial" w:hAnsi="Arial"/>
                <w:i/>
                <w:color w:val="000080"/>
              </w:rPr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/>
              <w:jc w:val="center"/>
              <w:rPr>
                <w:rFonts w:ascii="Arial" w:hAnsi="Arial" w:cs="Arial"/>
                <w:i/>
                <w:i/>
                <w:color w:val="000080"/>
                <w:sz w:val="22"/>
              </w:rPr>
            </w:pPr>
            <w:r>
              <w:rPr>
                <w:rFonts w:cs="Arial" w:ascii="Arial" w:hAnsi="Arial"/>
                <w:i/>
                <w:color w:val="000080"/>
                <w:sz w:val="22"/>
              </w:rPr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/>
              <w:jc w:val="center"/>
              <w:rPr>
                <w:rFonts w:ascii="Arial" w:hAnsi="Arial" w:cs="Arial"/>
                <w:i/>
                <w:i/>
                <w:color w:val="000080"/>
                <w:sz w:val="22"/>
              </w:rPr>
            </w:pPr>
            <w:r>
              <w:rPr>
                <w:rFonts w:cs="Arial" w:ascii="Arial" w:hAnsi="Arial"/>
                <w:i/>
                <w:color w:val="000080"/>
                <w:sz w:val="22"/>
              </w:rPr>
              <w:t>Marca da bollo 16,00 €</w:t>
            </w:r>
          </w:p>
          <w:p>
            <w:pPr>
              <w:pStyle w:val="Normal"/>
              <w:tabs>
                <w:tab w:val="left" w:pos="477" w:leader="none"/>
              </w:tabs>
              <w:spacing w:lineRule="auto" w:line="360"/>
              <w:jc w:val="both"/>
              <w:rPr>
                <w:rFonts w:ascii="Arial" w:hAnsi="Arial" w:cs="Arial"/>
                <w:i/>
                <w:i/>
                <w:color w:val="000080"/>
                <w:sz w:val="16"/>
                <w:szCs w:val="16"/>
              </w:rPr>
            </w:pPr>
            <w:r>
              <w:rPr>
                <w:rFonts w:cs="Arial" w:ascii="Arial" w:hAnsi="Arial"/>
                <w:i/>
                <w:color w:val="000080"/>
                <w:sz w:val="16"/>
                <w:szCs w:val="16"/>
              </w:rPr>
            </w:r>
          </w:p>
        </w:tc>
      </w:tr>
    </w:tbl>
    <w:p>
      <w:pPr>
        <w:pStyle w:val="Normal"/>
        <w:jc w:val="righ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right"/>
        <w:rPr/>
      </w:pPr>
      <w:r>
        <w:rPr>
          <w:rFonts w:cs="Arial" w:ascii="Arial" w:hAnsi="Arial"/>
          <w:sz w:val="22"/>
        </w:rPr>
        <w:t xml:space="preserve">Prot. n.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NUMERO_PROT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[protocollo]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 del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DATA_PROT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[data_protocollo]</w:t>
      </w:r>
      <w:r>
        <w:rPr>
          <w:sz w:val="22"/>
          <w:rFonts w:cs="Arial" w:ascii="Arial" w:hAnsi="Arial"/>
        </w:rPr>
        <w:fldChar w:fldCharType="end"/>
      </w:r>
    </w:p>
    <w:p>
      <w:pPr>
        <w:pStyle w:val="Normal"/>
        <w:jc w:val="right"/>
        <w:rPr/>
      </w:pPr>
      <w:r>
        <w:rPr>
          <w:rFonts w:cs="Arial" w:ascii="Arial" w:hAnsi="Arial"/>
          <w:b/>
          <w:sz w:val="22"/>
        </w:rPr>
        <w:t xml:space="preserve">Prat. n.° </w:t>
      </w:r>
      <w:r>
        <w:rPr>
          <w:rFonts w:cs="Arial" w:ascii="Arial" w:hAnsi="Arial"/>
          <w:b/>
          <w:sz w:val="22"/>
        </w:rPr>
        <w:fldChar w:fldCharType="begin"/>
      </w:r>
      <w:r>
        <w:rPr>
          <w:sz w:val="22"/>
          <w:b/>
          <w:rFonts w:cs="Arial" w:ascii="Arial" w:hAnsi="Arial"/>
        </w:rPr>
        <w:instrText> MERGEFIELD NUMERO_PRATICA </w:instrText>
      </w:r>
      <w:r>
        <w:rPr>
          <w:sz w:val="22"/>
          <w:b/>
          <w:rFonts w:cs="Arial" w:ascii="Arial" w:hAnsi="Arial"/>
        </w:rPr>
        <w:fldChar w:fldCharType="separate"/>
      </w:r>
      <w:r>
        <w:rPr>
          <w:sz w:val="22"/>
          <w:b/>
          <w:rFonts w:cs="Arial" w:ascii="Arial" w:hAnsi="Arial"/>
        </w:rPr>
        <w:t>[numero]</w:t>
      </w:r>
      <w:r>
        <w:rPr>
          <w:sz w:val="22"/>
          <w:b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</w:rPr>
        <w:t xml:space="preserve"> </w:t>
      </w:r>
    </w:p>
    <w:p>
      <w:pPr>
        <w:pStyle w:val="Normal"/>
        <w:jc w:val="right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right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  <w:t>Dir. Segr</w:t>
      </w:r>
      <w:r>
        <w:rPr>
          <w:rFonts w:cs="Arial" w:ascii="Arial" w:hAnsi="Arial"/>
          <w:i/>
          <w:sz w:val="22"/>
          <w:highlight w:val="yellow"/>
        </w:rPr>
        <w:t>. € 52,00</w:t>
      </w:r>
      <w:r>
        <w:rPr>
          <w:rFonts w:cs="Arial" w:ascii="Arial" w:hAnsi="Arial"/>
          <w:i/>
          <w:sz w:val="22"/>
        </w:rPr>
        <w:t xml:space="preserve"> 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28"/>
        </w:rPr>
        <w:t>IL DIRIGENTE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</w:rPr>
        <w:t xml:space="preserve">Vista l’istanza presentata in data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DATA_PROT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[data_protocollo]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 da </w:t>
      </w:r>
      <w:r>
        <w:rPr>
          <w:rFonts w:cs="Arial" w:ascii="Arial" w:hAnsi="Arial"/>
          <w:b/>
          <w:sz w:val="22"/>
        </w:rPr>
        <w:fldChar w:fldCharType="begin"/>
      </w:r>
      <w:r>
        <w:rPr>
          <w:sz w:val="22"/>
          <w:b/>
          <w:rFonts w:cs="Arial" w:ascii="Arial" w:hAnsi="Arial"/>
        </w:rPr>
        <w:instrText> MERGEFIELD RICHIEDENTI </w:instrText>
      </w:r>
      <w:r>
        <w:rPr>
          <w:sz w:val="22"/>
          <w:b/>
          <w:rFonts w:cs="Arial" w:ascii="Arial" w:hAnsi="Arial"/>
        </w:rPr>
        <w:fldChar w:fldCharType="separate"/>
      </w:r>
      <w:r>
        <w:rPr>
          <w:sz w:val="22"/>
          <w:b/>
          <w:rFonts w:cs="Arial" w:ascii="Arial" w:hAnsi="Arial"/>
        </w:rPr>
        <w:t>[elenco_richiedenti]</w:t>
      </w:r>
      <w:r>
        <w:rPr>
          <w:sz w:val="22"/>
          <w:b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; per l'esecuzione dei lavori di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OGGETTO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[oggetto]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; ubicati in Sanremo in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UBICAZIONE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[ubicazione]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, al Catasto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RIF_CATASTO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[elenco_ct]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RIF_CATASTO_URB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[elenco_cu]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; con allegato progetto, redatto da [elenco_progettisti_codfis]; costituito da n. </w:t>
      </w:r>
      <w:r>
        <w:rPr>
          <w:rFonts w:cs="Arial" w:ascii="Arial" w:hAnsi="Arial"/>
          <w:sz w:val="22"/>
          <w:highlight w:val="yellow"/>
        </w:rPr>
        <w:t>****</w:t>
      </w:r>
      <w:r>
        <w:rPr>
          <w:rFonts w:cs="Arial" w:ascii="Arial" w:hAnsi="Arial"/>
          <w:sz w:val="22"/>
        </w:rPr>
        <w:t xml:space="preserve"> elaborati grafici;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Acquisiti i seguenti pareri: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ind w:left="426" w:hanging="284"/>
        <w:jc w:val="both"/>
        <w:rPr>
          <w:rFonts w:ascii="Arial" w:hAnsi="Arial" w:cs="Arial"/>
          <w:color w:val="FF0000"/>
          <w:sz w:val="22"/>
        </w:rPr>
      </w:pPr>
      <w:r>
        <w:rPr>
          <w:rFonts w:cs="Arial" w:ascii="Arial" w:hAnsi="Arial"/>
          <w:color w:val="FF0000"/>
          <w:sz w:val="22"/>
        </w:rPr>
        <w:t>parere in data [pareri_1.data_rilascio;block=tbs:listitem] da [pareri_1.ente] che recita: "[pareri_1.prescrizioni]";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Visti altresì i seguenti atti:</w:t>
      </w:r>
    </w:p>
    <w:p>
      <w:pPr>
        <w:pStyle w:val="Normal"/>
        <w:spacing w:before="120" w:after="120"/>
        <w:ind w:left="426" w:hanging="284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- </w:t>
        <w:tab/>
        <w:t>Acquisita la dichiarazione di conformità sostitutiva del parere della ASL allegata all’istanza di cui sopra.</w:t>
      </w:r>
    </w:p>
    <w:p>
      <w:pPr>
        <w:pStyle w:val="Normal"/>
        <w:spacing w:before="120" w:after="120"/>
        <w:ind w:left="426" w:hanging="284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- </w:t>
        <w:tab/>
        <w:t>Acquisita l’Autorizzazione Paesaggistica ai sensi degli artt. 146 – 159 del Dlgs 42/2004 e dell’art. 82 della Legge Regionale n. 13 del 6 giugno 2014, prot. **** in data *****.</w:t>
      </w:r>
    </w:p>
    <w:p>
      <w:pPr>
        <w:pStyle w:val="Normal"/>
        <w:spacing w:before="120" w:after="120"/>
        <w:ind w:left="426" w:hanging="284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- </w:t>
        <w:tab/>
        <w:t xml:space="preserve">La proposta del responsabile del procedimento </w:t>
      </w:r>
      <w:r>
        <w:rPr>
          <w:rFonts w:cs="Arial" w:ascii="Arial" w:hAnsi="Arial"/>
          <w:i/>
          <w:sz w:val="22"/>
        </w:rPr>
        <w:t xml:space="preserve">[responsabile_procedimento] </w:t>
      </w:r>
      <w:r>
        <w:rPr>
          <w:rFonts w:cs="Arial" w:ascii="Arial" w:hAnsi="Arial"/>
          <w:sz w:val="22"/>
        </w:rPr>
        <w:t>formulata in data [data_rilascio_rup]</w:t>
      </w:r>
    </w:p>
    <w:p>
      <w:pPr>
        <w:pStyle w:val="Normal"/>
        <w:spacing w:before="120" w:after="120"/>
        <w:ind w:left="426" w:hanging="284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- </w:t>
        <w:tab/>
        <w:t>La relazione geologica tecnica presentata ai sensi dell'art.41 del P.R.G. vigente, in data * prot. *.</w:t>
      </w:r>
    </w:p>
    <w:p>
      <w:pPr>
        <w:pStyle w:val="Normal"/>
        <w:spacing w:before="120" w:after="120"/>
        <w:ind w:left="426" w:hanging="284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- </w:t>
        <w:tab/>
        <w:t>*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Visti il vigente Piano Regolatore Generale, i regolamenti locali e le disposizioni di legge in vigore;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Visto il Piano Urbanistico Comunale adottato con deliberazione Consiglio Comunale n. 67 del 16/10/2015 in regime di salvaguardia;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Vista la Legge Regionale n. 16 del 06 giugno 2008 sulla Disciplina dell’attività edilizia;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Richiamato D.P.R. n. 380 del 06.06 del 2001 e successive modificazioni ed integrazioni per quanto non eventualmente disciplinato della precedente Legge Regionale;</w:t>
      </w:r>
    </w:p>
    <w:p>
      <w:pPr>
        <w:pStyle w:val="Normal"/>
        <w:jc w:val="both"/>
        <w:rPr>
          <w:rFonts w:ascii="Arial" w:hAnsi="Arial" w:cs="Arial"/>
          <w:color w:val="FF0000"/>
          <w:sz w:val="22"/>
        </w:rPr>
      </w:pPr>
      <w:r>
        <w:rPr>
          <w:rFonts w:cs="Arial" w:ascii="Arial" w:hAnsi="Arial"/>
          <w:color w:val="FF0000"/>
          <w:sz w:val="22"/>
        </w:rPr>
        <w:t>Vista la Legge Regionale n. 49 del 03/11/2009 e smi, recanti misure urgenti per il rilancio dell’attività edilizia e per la riqualificazione del patrimonio urbanistico-edilizio.</w:t>
      </w:r>
    </w:p>
    <w:p>
      <w:pPr>
        <w:pStyle w:val="Normal"/>
        <w:jc w:val="both"/>
        <w:rPr>
          <w:rFonts w:ascii="Arial" w:hAnsi="Arial" w:cs="Arial"/>
          <w:color w:val="FF0000"/>
          <w:sz w:val="22"/>
        </w:rPr>
      </w:pPr>
      <w:r>
        <w:rPr>
          <w:rFonts w:cs="Arial" w:ascii="Arial" w:hAnsi="Arial"/>
          <w:color w:val="FF0000"/>
          <w:sz w:val="22"/>
        </w:rPr>
        <w:t>Vista la Legge Regionale n. 24 del 06/08/2001 e smi, renate norme sul recupero ai fini abitativi dei sottotetti esistenti.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Constatato che le opere previste dal presente progetto sono soggette a permesso di costruire gratuito;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RILASCIA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 xml:space="preserve">PERMESSO DI COSTRUIRE 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2"/>
        </w:rPr>
        <w:t xml:space="preserve">a </w:t>
      </w:r>
      <w:r>
        <w:rPr>
          <w:rFonts w:cs="Arial" w:ascii="Arial" w:hAnsi="Arial"/>
          <w:sz w:val="22"/>
        </w:rPr>
        <w:fldChar w:fldCharType="begin"/>
      </w:r>
      <w:r>
        <w:rPr>
          <w:sz w:val="22"/>
          <w:rFonts w:cs="Arial" w:ascii="Arial" w:hAnsi="Arial"/>
        </w:rPr>
        <w:instrText> MERGEFIELD RICHIEDENTI </w:instrText>
      </w:r>
      <w:r>
        <w:rPr>
          <w:sz w:val="22"/>
          <w:rFonts w:cs="Arial" w:ascii="Arial" w:hAnsi="Arial"/>
        </w:rPr>
        <w:fldChar w:fldCharType="separate"/>
      </w:r>
      <w:r>
        <w:rPr>
          <w:sz w:val="22"/>
          <w:rFonts w:cs="Arial" w:ascii="Arial" w:hAnsi="Arial"/>
        </w:rPr>
        <w:t>[elenco_richiedenti]</w:t>
      </w:r>
      <w:r>
        <w:rPr>
          <w:sz w:val="22"/>
          <w:rFonts w:cs="Arial" w:ascii="Arial" w:hAnsi="Arial"/>
        </w:rPr>
        <w:fldChar w:fldCharType="end"/>
      </w:r>
      <w:r>
        <w:rPr>
          <w:rFonts w:cs="Arial" w:ascii="Arial" w:hAnsi="Arial"/>
          <w:sz w:val="22"/>
        </w:rPr>
        <w:t xml:space="preserve">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L'inizio dei lavori dovrà avvenire entro un anno dalla data del presente permesso di costruire, pena la decadenza della stessa.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Il termine di ultimazione dei lavori, entro il quale l'opera deve essere agibile, non può essere superiore a tre anni dalla data dell’inizio dei lavori; nel caso di mancata ultimazione entro tale termine dovrà essere richiesta un nuovo permesso di costruire per la parte non ultimata.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2"/>
          <w:u w:val="single"/>
        </w:rPr>
      </w:pPr>
      <w:r>
        <w:rPr>
          <w:rFonts w:cs="Arial" w:ascii="Arial" w:hAnsi="Arial"/>
          <w:b/>
          <w:sz w:val="22"/>
          <w:u w:val="single"/>
        </w:rPr>
        <w:t>PRESCRIZIONI PARTICOLARI: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Dovranno essere rispettati i diritti dei terzi in ogni stato o fase dei lavori.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Il richiedente si impegna a recuperare quanto indicato nell’elaborato progettuale relativo alla quantificazione grafica e analitica in mc. della produzione dei rifiuti della demolizione, da scavi o da costruzioni, ai sensi dell’art. 7 c.1 del Regolamento Edilizio esistente, come materiale arido alle condizioni previste dal D.M. 5 febbraio 1998 e ss.mm.ii., dal D.lgs 152/06 e ss. mm. ii., dalla L. N.98/2013 e dalla D.G.R. N.1423/2013; Qualsiasi accumulo di materiale che dovrà essere smaltito e/o recuperato, dovrà avvenire nell’ambito dell’area oggetto di permesso di costruire;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  <w:color w:val="FF0000"/>
          <w:sz w:val="22"/>
        </w:rPr>
        <w:t>si dovrà ottemperare al parere prescrittivo rilasciato in data [pareri_</w:t>
      </w:r>
      <w:r>
        <w:rPr>
          <w:rFonts w:cs="Arial" w:ascii="Arial" w:hAnsi="Arial"/>
          <w:color w:val="FF0000"/>
          <w:sz w:val="22"/>
        </w:rPr>
        <w:t>2</w:t>
      </w:r>
      <w:r>
        <w:rPr>
          <w:rFonts w:cs="Arial" w:ascii="Arial" w:hAnsi="Arial"/>
          <w:color w:val="FF0000"/>
          <w:sz w:val="22"/>
        </w:rPr>
        <w:t>.data_rilascio;block=tbs:listitem] da [pareri_</w:t>
      </w:r>
      <w:r>
        <w:rPr>
          <w:rFonts w:cs="Arial" w:ascii="Arial" w:hAnsi="Arial"/>
          <w:color w:val="FF0000"/>
          <w:sz w:val="22"/>
        </w:rPr>
        <w:t>2</w:t>
      </w:r>
      <w:r>
        <w:rPr>
          <w:rFonts w:cs="Arial" w:ascii="Arial" w:hAnsi="Arial"/>
          <w:color w:val="FF0000"/>
          <w:sz w:val="22"/>
        </w:rPr>
        <w:t>.ente] che recita: "[pareri_</w:t>
      </w:r>
      <w:r>
        <w:rPr>
          <w:rFonts w:cs="Arial" w:ascii="Arial" w:hAnsi="Arial"/>
          <w:color w:val="FF0000"/>
          <w:sz w:val="22"/>
        </w:rPr>
        <w:t>2</w:t>
      </w:r>
      <w:r>
        <w:rPr>
          <w:rFonts w:cs="Arial" w:ascii="Arial" w:hAnsi="Arial"/>
          <w:color w:val="FF0000"/>
          <w:sz w:val="22"/>
        </w:rPr>
        <w:t>.prescrizioni]";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b/>
          <w:b/>
          <w:sz w:val="22"/>
          <w:u w:val="single"/>
        </w:rPr>
      </w:pPr>
      <w:bookmarkStart w:id="0" w:name="_GoBack"/>
      <w:bookmarkEnd w:id="0"/>
      <w:r>
        <w:rPr>
          <w:rFonts w:cs="Arial" w:ascii="Arial" w:hAnsi="Arial"/>
          <w:b/>
          <w:sz w:val="22"/>
          <w:u w:val="single"/>
        </w:rPr>
        <w:t>PRESCRIZIONI GENERALI: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Nel corso dei lavori dovranno applicarsi tutte le norme sulla prevenzione degli infortuni sul lavoro.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Dovranno essere rispettati tutti gli adempimenti previsti in materia energetica, di cui ai disposti del D.L. 63/2013 e del Regolamento Regionale n. 6 del 13 novembre 2012.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Dovrà essere tempestivamente comunicata, per iscritto, la data di inizio e quella di ultimazione dei lavori.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Prima dell'inizio dei lavori dovrà essere comunicato il nominativo del direttore degli stessi nonchè quello dell'impresa esecutrice, con l’indicazione dell’organico medio annuo (art. 3 – comma 8 – lettera b/ter del D. Lgs. n°494/96, come modificato ed integrato dal D.Lgs. n° 528/99 e dal D. Lgs. n°276/03 nonché alla documentazione (certificazione regolarità contributiva, rilasciate dall’ INAIL, INPS e CASSA EDILE) di cui alle lettere b) e b-bis) dell’art.86 del D.Lgs. n°276/03, come modificato dal D.Lgs. n°251/04, segnalando tempestivamente  eventuali variazioni; Prima dell'inizio dei lavori potrà essere richiesto, al Settore Territorio, il tracciamento della linea di ciglio e l'indicazione delle quote stradali a norma dell'art. 10 del Regolamento Edilizio.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Prima dell'inizio dei lavori e durante l'esecuzione degli stessi occorre ottemperare a quanto disposto dalla Legge n. 1086 del 5 novembre 1971 e ss. mm. e ii., in riferimento alle opere di conglomerato cementizio armato e a quelle in struttura metallica, le quali non potranno essere usate se non dopo il loro collaudo.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Nei cantieri dove si eseguono le opere deve essere esposta una tabella recante numero, data e titolare della concessione, l'oggetto dei lavori, 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Tutte le eventuali spese relative allo spostamento ed alla rimessa in pristino dei servizi di rete sono a carico del titolare del permesso di costruire.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La domanda di agibilità di quanto edificato dovrà essere presentata in conformità a quanto previsto dall’art. 37 della Legge n. 16 del 6 giugno 2008 e ss. mm. e ii..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Il presente permesso di costruire  non costituisce né impegno, né valido precedente per ottenere, da parte dell'Amministrazione o di altri Organi Comunali, eventuali permessi, licenze o autorizzazioni per l'esercizio di attività, cui i locali si intendono destinare.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>
      <w:pPr>
        <w:pStyle w:val="Normal"/>
        <w:spacing w:before="120" w:after="120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Sono state altresì presentate le seguenti fidejussioni per: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Deposito cauzionale disposto dal Servizio Viabilità e Sottosuoloper un importo di € ******, quietanza n. **** del ****.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Deposito cauzionale disposto dal Servizio Ambiente per un importo di € ******, quietanza n. **** del ****.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Deposito cauzionale disposto dal Servizio Manutenzione Immobili, Progettazione e Verde Pubblico per un importo di € ******, quietanza n. **** del ****.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Deposito cauzionale disposto ai sensi dell’art. 9 c.5 del Regolamento Edilizio vigente  per un importo di € ******, quietanza n. **** del ****.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Deposito cauzionale disposto ai sensi dell’art. </w:t>
      </w:r>
      <w:r>
        <w:rPr>
          <w:rFonts w:cs="Arial" w:ascii="Arial" w:hAnsi="Arial"/>
          <w:sz w:val="22"/>
          <w:highlight w:val="yellow"/>
        </w:rPr>
        <w:t>____ c.____</w:t>
      </w:r>
      <w:r>
        <w:rPr>
          <w:rFonts w:cs="Arial" w:ascii="Arial" w:hAnsi="Arial"/>
          <w:sz w:val="22"/>
        </w:rPr>
        <w:t xml:space="preserve"> del Regolamento Edilizio vigente per un importo di € ******, quietanza n. **** del ****.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Il presente permesso di costruire è rilasciato senza pregiudizio ai diritti di terzi e per quanto di competenza dell'Amministrazione Comunale.</w:t>
      </w:r>
    </w:p>
    <w:p>
      <w:pPr>
        <w:pStyle w:val="Normal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Eventuali opere eseguite in difformità dal presente permesso di costruire saranno sanzionate ai sensi del Titolo IV, Capo II del T.U. D.P.R. 380/2001 e ss.mm. recante norme per la disciplina dell’attività edilizia.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ind w:firstLine="708"/>
        <w:rPr>
          <w:rFonts w:ascii="Arial" w:hAnsi="Arial" w:cs="Arial"/>
          <w:i/>
          <w:i/>
          <w:sz w:val="22"/>
        </w:rPr>
      </w:pPr>
      <w:r>
        <w:rPr>
          <w:rFonts w:cs="Arial" w:ascii="Arial" w:hAnsi="Arial"/>
          <w:i/>
          <w:sz w:val="22"/>
        </w:rPr>
        <w:t xml:space="preserve">Sanremo, 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tbl>
      <w:tblPr>
        <w:tblW w:w="977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889"/>
        <w:gridCol w:w="4888"/>
      </w:tblGrid>
      <w:tr>
        <w:trPr/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488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IL DIRIGENTE</w:t>
            </w:r>
          </w:p>
        </w:tc>
      </w:tr>
      <w:tr>
        <w:trPr/>
        <w:tc>
          <w:tcPr>
            <w:tcW w:w="4889" w:type="dxa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488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i/>
                <w:i/>
                <w:sz w:val="22"/>
              </w:rPr>
            </w:pPr>
            <w:r>
              <w:rPr>
                <w:rFonts w:cs="Arial" w:ascii="Arial" w:hAnsi="Arial"/>
                <w:i/>
                <w:sz w:val="22"/>
              </w:rPr>
              <w:t>[dirigente]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56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5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qFormat/>
    <w:rsid w:val="006f53ff"/>
    <w:rPr>
      <w:rFonts w:ascii="Arial" w:hAnsi="Arial"/>
      <w:sz w:val="24"/>
    </w:rPr>
  </w:style>
  <w:style w:type="character" w:styleId="TestofumettoCarattere" w:customStyle="1">
    <w:name w:val="Testo fumetto Carattere"/>
    <w:basedOn w:val="DefaultParagraphFont"/>
    <w:link w:val="Testofumetto"/>
    <w:qFormat/>
    <w:rsid w:val="006f53f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eastAsia="Times New Roman" w:cs="Times New Roman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Arial" w:hAnsi="Arial" w:eastAsia="Times New Roman" w:cs="Times New Roman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0615"/>
    <w:pPr>
      <w:spacing w:before="0" w:after="0"/>
      <w:ind w:left="720" w:hanging="0"/>
      <w:contextualSpacing/>
    </w:pPr>
    <w:rPr/>
  </w:style>
  <w:style w:type="paragraph" w:styleId="Intestazione">
    <w:name w:val="Header"/>
    <w:basedOn w:val="Normal"/>
    <w:link w:val="IntestazioneCarattere"/>
    <w:rsid w:val="006f53ff"/>
    <w:pPr>
      <w:tabs>
        <w:tab w:val="center" w:pos="4819" w:leader="none"/>
        <w:tab w:val="right" w:pos="9638" w:leader="none"/>
      </w:tabs>
      <w:suppressAutoHyphens w:val="true"/>
    </w:pPr>
    <w:rPr>
      <w:rFonts w:ascii="Arial" w:hAnsi="Arial"/>
      <w:sz w:val="24"/>
    </w:rPr>
  </w:style>
  <w:style w:type="paragraph" w:styleId="BalloonText">
    <w:name w:val="Balloon Text"/>
    <w:basedOn w:val="Normal"/>
    <w:link w:val="TestofumettoCarattere"/>
    <w:qFormat/>
    <w:rsid w:val="006f53f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gratuita TU</Template>
  <TotalTime>18</TotalTime>
  <Application>LibreOffice/6.0.3.2$Linux_X86_64 LibreOffice_project/00m0$Build-2</Application>
  <Pages>3</Pages>
  <Words>1342</Words>
  <Characters>7864</Characters>
  <CharactersWithSpaces>9141</CharactersWithSpaces>
  <Paragraphs>61</Paragraphs>
  <Company>comune di sanremo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2018-03-12T14:55:00Z</dcterms:created>
  <dc:creator>Marco Carbone</dc:creator>
  <dc:description/>
  <dc:language>it-IT</dc:language>
  <cp:lastModifiedBy/>
  <cp:lastPrinted>2003-07-02T11:12:00Z</cp:lastPrinted>
  <dcterms:modified xsi:type="dcterms:W3CDTF">2018-09-03T10:00:04Z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comune di sanremo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