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stazione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-842645</wp:posOffset>
            </wp:positionV>
            <wp:extent cx="6084570" cy="138874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0"/>
        </w:rPr>
        <w:t>A</w:t>
      </w:r>
      <w:r>
        <w:rPr>
          <w:rFonts w:cs="Arial" w:ascii="Arial" w:hAnsi="Arial"/>
          <w:b/>
          <w:sz w:val="20"/>
        </w:rPr>
        <w:t>REA  SVILUPPO URBANISTICO</w:t>
      </w:r>
    </w:p>
    <w:p>
      <w:pPr>
        <w:pStyle w:val="Intestazione"/>
        <w:jc w:val="center"/>
        <w:rPr/>
      </w:pPr>
      <w:r>
        <w:rPr>
          <w:rFonts w:cs="Arial" w:ascii="Arial" w:hAnsi="Arial"/>
          <w:b/>
          <w:sz w:val="16"/>
        </w:rPr>
        <w:t>Piazza Milite Ignoto n.6 – 17026</w:t>
      </w:r>
    </w:p>
    <w:p>
      <w:pPr>
        <w:pStyle w:val="Intestazione"/>
        <w:jc w:val="center"/>
        <w:rPr/>
      </w:pPr>
      <w:r>
        <w:rPr>
          <w:rFonts w:cs="Arial" w:ascii="Arial" w:hAnsi="Arial"/>
          <w:b/>
          <w:sz w:val="16"/>
        </w:rPr>
        <w:t>Tel. 019/7499520</w:t>
      </w:r>
    </w:p>
    <w:p>
      <w:pPr>
        <w:pStyle w:val="Titolo2"/>
        <w:numPr>
          <w:ilvl w:val="1"/>
          <w:numId w:val="7"/>
        </w:numPr>
        <w:jc w:val="center"/>
        <w:rPr/>
      </w:pPr>
      <w:r>
        <w:rPr>
          <w:rFonts w:cs="Arial" w:ascii="Arial" w:hAnsi="Arial"/>
          <w:b w:val="false"/>
          <w:bCs/>
          <w:sz w:val="16"/>
          <w:szCs w:val="12"/>
        </w:rPr>
        <w:t xml:space="preserve">e-mail: </w:t>
      </w:r>
      <w:hyperlink r:id="rId3">
        <w:r>
          <w:rPr>
            <w:rStyle w:val="CollegamentoInternet"/>
            <w:rFonts w:cs="Arial" w:ascii="Arial" w:hAnsi="Arial"/>
            <w:b w:val="false"/>
            <w:bCs/>
            <w:sz w:val="16"/>
            <w:szCs w:val="12"/>
          </w:rPr>
          <w:t>raffaello.riba@comune.noli.sv.it</w:t>
        </w:r>
      </w:hyperlink>
    </w:p>
    <w:p>
      <w:pPr>
        <w:pStyle w:val="Titolo2"/>
        <w:numPr>
          <w:ilvl w:val="1"/>
          <w:numId w:val="7"/>
        </w:numPr>
        <w:jc w:val="center"/>
        <w:rPr/>
      </w:pPr>
      <w:r>
        <w:rPr>
          <w:rFonts w:cs="Arial" w:ascii="Arial" w:hAnsi="Arial"/>
          <w:b w:val="false"/>
          <w:bCs/>
          <w:sz w:val="16"/>
        </w:rPr>
        <w:t xml:space="preserve"> </w:t>
      </w:r>
      <w:r>
        <w:rPr>
          <w:rFonts w:cs="Arial" w:ascii="Arial" w:hAnsi="Arial"/>
          <w:b w:val="false"/>
          <w:bCs/>
          <w:sz w:val="16"/>
        </w:rPr>
        <w:t xml:space="preserve">e-mail: </w:t>
      </w:r>
      <w:hyperlink r:id="rId4">
        <w:r>
          <w:rPr>
            <w:rStyle w:val="CollegamentoInternet"/>
            <w:rFonts w:cs="Arial" w:ascii="Arial" w:hAnsi="Arial"/>
            <w:b w:val="false"/>
            <w:bCs/>
            <w:sz w:val="16"/>
          </w:rPr>
          <w:t>urbanistica@comune.noli.sv.it</w:t>
        </w:r>
      </w:hyperlink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</w:rPr>
        <w:t>RACCOMANDATA A/R - PEC</w:t>
      </w:r>
    </w:p>
    <w:p>
      <w:pPr>
        <w:pStyle w:val="Titolo2"/>
        <w:numPr>
          <w:ilvl w:val="1"/>
          <w:numId w:val="7"/>
        </w:numPr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olo2"/>
        <w:numPr>
          <w:ilvl w:val="1"/>
          <w:numId w:val="7"/>
        </w:numPr>
        <w:rPr/>
      </w:pPr>
      <w:r>
        <w:rPr>
          <w:rFonts w:cs="Arial"/>
          <w:b w:val="false"/>
          <w:bCs w:val="false"/>
          <w:sz w:val="22"/>
          <w:szCs w:val="22"/>
        </w:rPr>
        <w:t>P</w:t>
      </w:r>
      <w:r>
        <w:rPr>
          <w:rFonts w:cs="Tahoma"/>
          <w:b w:val="false"/>
          <w:bCs w:val="false"/>
          <w:sz w:val="22"/>
          <w:szCs w:val="22"/>
        </w:rPr>
        <w:t>rot. n. ____________</w:t>
        <w:tab/>
        <w:tab/>
        <w:tab/>
        <w:tab/>
        <w:tab/>
        <w:tab/>
        <w:t xml:space="preserve">          </w:t>
        <w:tab/>
        <w:tab/>
        <w:t xml:space="preserve"> Noli, _________</w:t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b/>
          <w:b/>
          <w:bCs/>
          <w:sz w:val="22"/>
          <w:szCs w:val="22"/>
        </w:rPr>
      </w:pPr>
      <w:r>
        <w:rPr>
          <w:rFonts w:cs="Tahoma"/>
          <w:b/>
          <w:bCs/>
          <w:sz w:val="22"/>
          <w:szCs w:val="22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b/>
          <w:b/>
          <w:bCs/>
          <w:sz w:val="22"/>
          <w:szCs w:val="22"/>
        </w:rPr>
      </w:pPr>
      <w:r>
        <w:rPr>
          <w:rFonts w:cs="Tahoma"/>
          <w:b/>
          <w:bCs/>
          <w:sz w:val="22"/>
          <w:szCs w:val="22"/>
        </w:rPr>
      </w:r>
    </w:p>
    <w:p>
      <w:pPr>
        <w:pStyle w:val="Normal"/>
        <w:ind w:left="0" w:right="0" w:hanging="0"/>
        <w:jc w:val="both"/>
        <w:rPr/>
      </w:pPr>
      <w:r>
        <w:rPr>
          <w:rFonts w:cs="Tahoma"/>
          <w:b/>
          <w:bCs/>
          <w:sz w:val="22"/>
          <w:szCs w:val="22"/>
        </w:rPr>
        <w:t>Oggetto: [tipo_pratica] – [oggetto]. Immobile identificato a catasto al [elenco_cu] [elenco_ct] – Proprietà [elenco_richiedenti].</w:t>
      </w:r>
    </w:p>
    <w:p>
      <w:pPr>
        <w:pStyle w:val="Normal"/>
        <w:ind w:left="0" w:right="0" w:hanging="0"/>
        <w:jc w:val="both"/>
        <w:rPr/>
      </w:pPr>
      <w:r>
        <w:rPr>
          <w:rFonts w:eastAsia="Times New Roman" w:cs="Arial"/>
          <w:b/>
          <w:bCs/>
          <w:i/>
          <w:iCs/>
          <w:color w:val="auto"/>
          <w:sz w:val="22"/>
          <w:szCs w:val="22"/>
          <w:lang w:val="it-IT" w:eastAsia="zh-CN" w:bidi="ar-SA"/>
        </w:rPr>
        <w:t xml:space="preserve">Trasmissione parere Commissione Edilizia del </w:t>
      </w:r>
      <w:r>
        <w:rPr>
          <w:rFonts w:eastAsia="Times New Roman" w:cs="Arial"/>
          <w:b/>
          <w:bCs/>
          <w:i/>
          <w:iCs/>
          <w:color w:val="auto"/>
          <w:sz w:val="22"/>
          <w:szCs w:val="22"/>
          <w:highlight w:val="yellow"/>
          <w:lang w:val="it-IT" w:eastAsia="zh-CN" w:bidi="ar-SA"/>
        </w:rPr>
        <w:t>31/03/2016</w:t>
      </w:r>
      <w:r>
        <w:rPr>
          <w:rFonts w:eastAsia="Times New Roman" w:cs="Arial"/>
          <w:b/>
          <w:bCs/>
          <w:i/>
          <w:iCs/>
          <w:color w:val="auto"/>
          <w:sz w:val="22"/>
          <w:szCs w:val="22"/>
          <w:lang w:val="it-IT" w:eastAsia="zh-CN" w:bidi="ar-SA"/>
        </w:rPr>
        <w:t xml:space="preserve"> –</w:t>
      </w:r>
      <w:r>
        <w:rPr>
          <w:rFonts w:eastAsia="Times New Roman" w:cs="Arial"/>
          <w:b/>
          <w:bCs/>
          <w:i/>
          <w:iCs/>
          <w:color w:val="auto"/>
          <w:sz w:val="24"/>
          <w:szCs w:val="24"/>
          <w:lang w:val="it-IT" w:eastAsia="zh-CN" w:bidi="ar-SA"/>
        </w:rPr>
        <w:t xml:space="preserve"> </w:t>
      </w:r>
      <w:r>
        <w:rPr>
          <w:rFonts w:cs="Tahoma"/>
          <w:b/>
          <w:bCs/>
          <w:i/>
          <w:iCs/>
          <w:sz w:val="22"/>
          <w:szCs w:val="22"/>
        </w:rPr>
        <w:t>Comunicazioni</w:t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tbl>
      <w:tblPr>
        <w:tblW w:w="9635" w:type="dxa"/>
        <w:jc w:val="left"/>
        <w:tblInd w:w="53" w:type="dxa"/>
        <w:tblBorders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791"/>
        <w:gridCol w:w="4844"/>
      </w:tblGrid>
      <w:tr>
        <w:trPr/>
        <w:tc>
          <w:tcPr>
            <w:tcW w:w="4791" w:type="dxa"/>
            <w:tcBorders/>
            <w:shd w:fill="auto" w:val="clear"/>
          </w:tcPr>
          <w:p>
            <w:pPr>
              <w:pStyle w:val="Normal"/>
              <w:ind w:left="0" w:right="0" w:hanging="0"/>
              <w:jc w:val="right"/>
              <w:rPr/>
            </w:pPr>
            <w:r>
              <w:rPr>
                <w:rFonts w:cs="Tahoma"/>
                <w:sz w:val="22"/>
                <w:szCs w:val="22"/>
              </w:rPr>
              <w:t>Al</w:t>
            </w:r>
          </w:p>
        </w:tc>
        <w:tc>
          <w:tcPr>
            <w:tcW w:w="4844" w:type="dxa"/>
            <w:tcBorders/>
            <w:shd w:fill="auto" w:val="clear"/>
          </w:tcPr>
          <w:tbl>
            <w:tblPr>
              <w:tblW w:w="4681" w:type="dxa"/>
              <w:jc w:val="left"/>
              <w:tblInd w:w="0" w:type="dxa"/>
              <w:tblBorders/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81"/>
            </w:tblGrid>
            <w:tr>
              <w:trPr/>
              <w:tc>
                <w:tcPr>
                  <w:tcW w:w="4681" w:type="dxa"/>
                  <w:tcBorders/>
                  <w:shd w:fill="auto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 ([richiedenti.prov])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[richiedenti.pec]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4791" w:type="dxa"/>
            <w:tcBorders/>
            <w:shd w:fill="auto" w:val="clear"/>
          </w:tcPr>
          <w:p>
            <w:pPr>
              <w:pStyle w:val="Normal"/>
              <w:tabs>
                <w:tab w:val="left" w:pos="6510" w:leader="none"/>
              </w:tabs>
              <w:ind w:left="0" w:right="0" w:hanging="0"/>
              <w:jc w:val="right"/>
              <w:rPr/>
            </w:pPr>
            <w:r>
              <w:rPr>
                <w:rFonts w:cs="Arial"/>
                <w:b w:val="false"/>
                <w:bCs w:val="false"/>
                <w:i w:val="false"/>
                <w:sz w:val="22"/>
                <w:szCs w:val="22"/>
                <w:u w:val="none"/>
              </w:rPr>
              <w:t>e p.c.</w:t>
            </w:r>
          </w:p>
        </w:tc>
        <w:tc>
          <w:tcPr>
            <w:tcW w:w="4844" w:type="dxa"/>
            <w:tcBorders/>
            <w:shd w:fill="auto" w:val="clear"/>
          </w:tcPr>
          <w:tbl>
            <w:tblPr>
              <w:tblW w:w="4681" w:type="dxa"/>
              <w:jc w:val="left"/>
              <w:tblInd w:w="0" w:type="dxa"/>
              <w:tblBorders/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4681"/>
            </w:tblGrid>
            <w:tr>
              <w:trPr/>
              <w:tc>
                <w:tcPr>
                  <w:tcW w:w="4681" w:type="dxa"/>
                  <w:tcBorders/>
                  <w:shd w:fill="auto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[progettisti.nominativo;block=tbs:row]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[progettisti.indirizzo]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[progettisti.cap] [progettisti.comune] ([progettisti.prov])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[progettisti.pec]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ind w:left="0" w:right="0" w:hanging="0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Con riferimento alla pratica in oggetto, presentata in data [data_protocollo] e acquisita presso codesto Comune con Prot. n. [protocollo],</w:t>
      </w: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  <w:lang w:val="it-IT" w:eastAsia="zh-CN" w:bidi="ar-SA"/>
        </w:rPr>
        <w:t xml:space="preserve"> </w:t>
      </w:r>
      <w:r>
        <w:rPr>
          <w:rFonts w:cs="Tahoma"/>
          <w:b w:val="false"/>
          <w:bCs w:val="false"/>
          <w:i w:val="false"/>
          <w:iCs w:val="false"/>
          <w:sz w:val="22"/>
          <w:szCs w:val="22"/>
          <w:u w:val="none"/>
        </w:rPr>
        <w:t>si comunica, a</w:t>
      </w:r>
      <w:r>
        <w:rPr>
          <w:rFonts w:cs="Arial"/>
          <w:b w:val="false"/>
          <w:bCs w:val="false"/>
          <w:i w:val="false"/>
          <w:iCs w:val="false"/>
          <w:sz w:val="22"/>
          <w:szCs w:val="22"/>
          <w:u w:val="none"/>
        </w:rPr>
        <w:t>i sensi della Legge 241 del 07.08.1990</w:t>
      </w:r>
      <w:r>
        <w:rPr>
          <w:rFonts w:cs="Tahoma"/>
          <w:b w:val="false"/>
          <w:bCs w:val="false"/>
          <w:i w:val="false"/>
          <w:iCs w:val="false"/>
          <w:sz w:val="22"/>
          <w:szCs w:val="22"/>
          <w:u w:val="none"/>
        </w:rPr>
        <w:t xml:space="preserve">, che l'istanza è stata sottoposta al parere della Commissione Edilizia del </w:t>
      </w:r>
      <w:r>
        <w:rPr>
          <w:rFonts w:cs="Tahoma"/>
          <w:b w:val="false"/>
          <w:bCs w:val="false"/>
          <w:i w:val="false"/>
          <w:iCs w:val="false"/>
          <w:sz w:val="22"/>
          <w:szCs w:val="22"/>
          <w:u w:val="none"/>
        </w:rPr>
        <w:t>[data_rilascio_ce]</w:t>
      </w:r>
      <w:r>
        <w:rPr>
          <w:rFonts w:cs="Tahoma"/>
          <w:b w:val="false"/>
          <w:bCs w:val="false"/>
          <w:i w:val="false"/>
          <w:iCs w:val="false"/>
          <w:sz w:val="22"/>
          <w:szCs w:val="22"/>
          <w:u w:val="none"/>
        </w:rPr>
        <w:t xml:space="preserve">, che </w:t>
      </w: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2"/>
          <w:szCs w:val="22"/>
          <w:u w:val="none"/>
          <w:em w:val="none"/>
          <w:lang w:val="it-IT" w:eastAsia="zh-CN" w:bidi="ar-SA"/>
        </w:rPr>
        <w:t>così si è espressa:</w:t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b/>
          <w:b/>
          <w:bCs/>
          <w:i w:val="false"/>
          <w:i w:val="false"/>
          <w:sz w:val="22"/>
          <w:szCs w:val="22"/>
          <w:u w:val="none"/>
        </w:rPr>
      </w:pPr>
      <w:r>
        <w:rPr>
          <w:rFonts w:cs="Tahoma"/>
          <w:b/>
          <w:bCs/>
          <w:i w:val="false"/>
          <w:sz w:val="22"/>
          <w:szCs w:val="22"/>
          <w:u w:val="none"/>
        </w:rPr>
      </w:r>
    </w:p>
    <w:p>
      <w:pPr>
        <w:pStyle w:val="Standard"/>
        <w:ind w:left="0" w:right="0" w:hanging="0"/>
        <w:jc w:val="both"/>
        <w:rPr>
          <w:rFonts w:ascii="Times New Roman" w:hAnsi="Times New Roman" w:eastAsia="Times New Roman" w:cs="Tahoma"/>
          <w:b w:val="false"/>
          <w:b w:val="false"/>
          <w:bCs w:val="false"/>
          <w:i/>
          <w:i/>
          <w:iCs/>
          <w:color w:val="000000"/>
          <w:sz w:val="22"/>
          <w:szCs w:val="22"/>
          <w:u w:val="none"/>
          <w:lang w:val="it-IT" w:eastAsia="zh-CN" w:bidi="ar-SA"/>
        </w:rPr>
      </w:pPr>
      <w:r>
        <w:rPr>
          <w:rFonts w:eastAsia="Times New Roman" w:cs="Tahoma"/>
          <w:b w:val="false"/>
          <w:bCs w:val="false"/>
          <w:i/>
          <w:iCs/>
          <w:color w:val="000000"/>
          <w:sz w:val="22"/>
          <w:szCs w:val="22"/>
          <w:u w:val="none"/>
          <w:lang w:val="it-IT" w:eastAsia="zh-CN" w:bidi="ar-SA"/>
        </w:rPr>
        <w:t>“</w:t>
      </w:r>
      <w:r>
        <w:rPr>
          <w:rFonts w:eastAsia="Times New Roman" w:cs="Tahoma"/>
          <w:b w:val="false"/>
          <w:bCs w:val="false"/>
          <w:i/>
          <w:iCs/>
          <w:color w:val="000000"/>
          <w:sz w:val="22"/>
          <w:szCs w:val="22"/>
          <w:u w:val="none"/>
          <w:lang w:val="it-IT" w:eastAsia="zh-CN" w:bidi="ar-SA"/>
        </w:rPr>
        <w:t>[testo_ce]</w:t>
      </w:r>
      <w:r>
        <w:rPr>
          <w:rFonts w:eastAsia="Times New Roman" w:cs="Tahoma"/>
          <w:b w:val="false"/>
          <w:bCs w:val="false"/>
          <w:i/>
          <w:iCs/>
          <w:color w:val="000000"/>
          <w:sz w:val="22"/>
          <w:szCs w:val="22"/>
          <w:u w:val="none"/>
          <w:lang w:val="it-IT" w:eastAsia="zh-CN" w:bidi="ar-SA"/>
        </w:rPr>
        <w:t>”.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ahoma"/>
          <w:b w:val="false"/>
          <w:b w:val="false"/>
          <w:bCs w:val="false"/>
          <w:i w:val="false"/>
          <w:i w:val="false"/>
          <w:iCs w:val="false"/>
          <w:color w:val="000000"/>
          <w:sz w:val="22"/>
          <w:szCs w:val="22"/>
          <w:u w:val="none"/>
          <w:lang w:val="it-IT" w:eastAsia="zh-CN" w:bidi="ar-SA"/>
        </w:rPr>
      </w:pPr>
      <w:r>
        <w:rPr>
          <w:rFonts w:eastAsia="Times New Roman" w:cs="Tahoma"/>
          <w:b w:val="false"/>
          <w:bCs w:val="false"/>
          <w:i w:val="false"/>
          <w:iCs w:val="false"/>
          <w:color w:val="000000"/>
          <w:sz w:val="22"/>
          <w:szCs w:val="22"/>
          <w:u w:val="none"/>
          <w:lang w:val="it-IT" w:eastAsia="zh-CN" w:bidi="ar-SA"/>
        </w:rPr>
      </w:r>
    </w:p>
    <w:p>
      <w:pPr>
        <w:pStyle w:val="Normal"/>
        <w:jc w:val="both"/>
        <w:rPr>
          <w:rFonts w:ascii="Times New Roman" w:hAnsi="Times New Roman" w:cs="Tahoma"/>
          <w:sz w:val="24"/>
          <w:szCs w:val="24"/>
          <w:u w:val="none"/>
        </w:rPr>
      </w:pPr>
      <w:r>
        <w:rPr>
          <w:rFonts w:eastAsia="Times New Roman" w:cs="Tahoma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  <w:lang w:val="it-IT" w:eastAsia="zh-CN" w:bidi="ar-SA"/>
        </w:rPr>
        <w:t>Pertanto, l'Utc provvederà al rilascio del Permesso di Costruire</w:t>
      </w: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  <w:lang w:val="it-IT" w:eastAsia="zh-CN" w:bidi="ar-SA"/>
        </w:rPr>
        <w:t xml:space="preserve"> subordinato a:</w:t>
      </w:r>
    </w:p>
    <w:p>
      <w:pPr>
        <w:pStyle w:val="Normal"/>
        <w:jc w:val="both"/>
        <w:rPr>
          <w:rFonts w:ascii="Times New Roman" w:hAnsi="Times New Roman" w:eastAsia="Times New Roman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  <w:lang w:val="it-IT" w:eastAsia="zh-CN" w:bidi="ar-SA"/>
        </w:rPr>
      </w:pP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  <w:lang w:val="it-IT" w:eastAsia="zh-CN" w:bidi="ar-SA"/>
        </w:rPr>
      </w:r>
    </w:p>
    <w:p>
      <w:pPr>
        <w:pStyle w:val="Normal"/>
        <w:jc w:val="both"/>
        <w:rPr>
          <w:rFonts w:ascii="Times New Roman" w:hAnsi="Times New Roman" w:cs="Tahoma"/>
          <w:sz w:val="24"/>
          <w:szCs w:val="24"/>
          <w:u w:val="none"/>
        </w:rPr>
      </w:pP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em w:val="none"/>
          <w:lang w:val="it-IT" w:eastAsia="zh-CN" w:bidi="ar-SA"/>
        </w:rPr>
        <w:t>1)  pagamento del contributo di costruzione così calcolato</w:t>
      </w:r>
      <w:r>
        <w:rPr>
          <w:rFonts w:cs="Tahoma"/>
          <w:sz w:val="24"/>
          <w:szCs w:val="24"/>
          <w:u w:val="none"/>
        </w:rPr>
        <w:t>: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cs="Tahoma"/>
          <w:sz w:val="24"/>
          <w:szCs w:val="24"/>
          <w:u w:val="none"/>
        </w:rPr>
      </w:pPr>
      <w:r>
        <w:rPr>
          <w:rFonts w:cs="Tahoma"/>
          <w:sz w:val="24"/>
          <w:szCs w:val="24"/>
          <w:u w:val="none"/>
        </w:rPr>
      </w:r>
    </w:p>
    <w:p>
      <w:pPr>
        <w:pStyle w:val="Rientrocorpodeltesto"/>
        <w:numPr>
          <w:ilvl w:val="0"/>
          <w:numId w:val="4"/>
        </w:numPr>
        <w:tabs>
          <w:tab w:val="left" w:pos="720" w:leader="none"/>
        </w:tabs>
        <w:jc w:val="both"/>
        <w:rPr>
          <w:rFonts w:ascii="Times New Roman" w:hAnsi="Times New Roman" w:eastAsia="Times New Roman" w:cs="Arial"/>
          <w:sz w:val="24"/>
          <w:szCs w:val="24"/>
          <w:highlight w:val="yellow"/>
        </w:rPr>
      </w:pPr>
      <w:r>
        <w:rPr>
          <w:rFonts w:eastAsia="Times New Roman" w:cs="Arial"/>
          <w:sz w:val="24"/>
          <w:szCs w:val="24"/>
          <w:highlight w:val="yellow"/>
        </w:rPr>
        <w:t>parametri di riferimento superficie agibile:  37,40 mq;</w:t>
      </w:r>
    </w:p>
    <w:p>
      <w:pPr>
        <w:pStyle w:val="Rientrocorpodeltesto"/>
        <w:numPr>
          <w:ilvl w:val="0"/>
          <w:numId w:val="4"/>
        </w:numPr>
        <w:tabs>
          <w:tab w:val="left" w:pos="720" w:leader="none"/>
        </w:tabs>
        <w:jc w:val="both"/>
        <w:rPr>
          <w:rFonts w:ascii="Times New Roman" w:hAnsi="Times New Roman" w:eastAsia="Times New Roman" w:cs="Arial"/>
          <w:b w:val="false"/>
          <w:b w:val="false"/>
          <w:bCs w:val="false"/>
          <w:sz w:val="24"/>
          <w:szCs w:val="24"/>
          <w:highlight w:val="yellow"/>
          <w:u w:val="none"/>
        </w:rPr>
      </w:pPr>
      <w:r>
        <w:rPr>
          <w:rFonts w:eastAsia="Times New Roman" w:cs="Arial"/>
          <w:b w:val="false"/>
          <w:bCs w:val="false"/>
          <w:sz w:val="24"/>
          <w:szCs w:val="24"/>
          <w:highlight w:val="yellow"/>
          <w:u w:val="none"/>
        </w:rPr>
        <w:t>tariffa di riferimento: € 151,35*40% = € 60,54  (interventi di ristrutturazione edilizia con cambio di destinazione d'uso e senza aumento delle unità abitative) in applicazione della Delibera della Giunta Comunale n. 05 del 10/02/2016;</w:t>
      </w:r>
    </w:p>
    <w:p>
      <w:pPr>
        <w:pStyle w:val="Rientrocorpodeltesto"/>
        <w:numPr>
          <w:ilvl w:val="0"/>
          <w:numId w:val="4"/>
        </w:numPr>
        <w:tabs>
          <w:tab w:val="left" w:pos="720" w:leader="none"/>
        </w:tabs>
        <w:jc w:val="both"/>
        <w:rPr>
          <w:rFonts w:ascii="Times New Roman" w:hAnsi="Times New Roman" w:eastAsia="Times New Roman" w:cs="Arial"/>
          <w:b w:val="false"/>
          <w:b w:val="false"/>
          <w:bCs w:val="false"/>
          <w:sz w:val="24"/>
          <w:szCs w:val="24"/>
          <w:highlight w:val="yellow"/>
          <w:u w:val="none"/>
        </w:rPr>
      </w:pPr>
      <w:r>
        <w:rPr>
          <w:rFonts w:eastAsia="Times New Roman" w:cs="Arial"/>
          <w:b w:val="false"/>
          <w:bCs w:val="false"/>
          <w:sz w:val="24"/>
          <w:szCs w:val="24"/>
          <w:highlight w:val="yellow"/>
          <w:u w:val="none"/>
        </w:rPr>
        <w:t>quota contributo di costruzione artt. 38 e 39 L.R. 16/2008 pari a 37,40 mq x  60,54 € =         € 2.264,196;</w:t>
      </w:r>
    </w:p>
    <w:p>
      <w:pPr>
        <w:pStyle w:val="Rientrocorpodeltesto"/>
        <w:numPr>
          <w:ilvl w:val="0"/>
          <w:numId w:val="4"/>
        </w:numPr>
        <w:tabs>
          <w:tab w:val="left" w:pos="720" w:leader="none"/>
        </w:tabs>
        <w:jc w:val="both"/>
        <w:rPr>
          <w:rFonts w:ascii="Times New Roman" w:hAnsi="Times New Roman" w:eastAsia="Times New Roman" w:cs="Arial"/>
          <w:b w:val="false"/>
          <w:b w:val="false"/>
          <w:bCs w:val="false"/>
          <w:sz w:val="24"/>
          <w:szCs w:val="24"/>
          <w:highlight w:val="yellow"/>
          <w:u w:val="none"/>
        </w:rPr>
      </w:pPr>
      <w:r>
        <w:rPr>
          <w:rFonts w:eastAsia="Times New Roman" w:cs="Arial"/>
          <w:b w:val="false"/>
          <w:bCs w:val="false"/>
          <w:sz w:val="24"/>
          <w:szCs w:val="24"/>
          <w:highlight w:val="yellow"/>
          <w:u w:val="none"/>
        </w:rPr>
        <w:t xml:space="preserve">conguaglio tra quanto già versato € 1333,54 e quanto dovuto  € 2.264,196: </w:t>
      </w:r>
    </w:p>
    <w:p>
      <w:pPr>
        <w:pStyle w:val="Rientrocorpodeltesto"/>
        <w:numPr>
          <w:ilvl w:val="0"/>
          <w:numId w:val="0"/>
        </w:numPr>
        <w:tabs>
          <w:tab w:val="left" w:pos="720" w:leader="none"/>
        </w:tabs>
        <w:ind w:left="720" w:right="0" w:hanging="0"/>
        <w:jc w:val="both"/>
        <w:rPr>
          <w:highlight w:val="yellow"/>
        </w:rPr>
      </w:pPr>
      <w:r>
        <w:rPr>
          <w:rFonts w:eastAsia="Times New Roman" w:cs="Arial"/>
          <w:b w:val="false"/>
          <w:bCs w:val="false"/>
          <w:sz w:val="24"/>
          <w:szCs w:val="24"/>
          <w:highlight w:val="yellow"/>
          <w:u w:val="none"/>
        </w:rPr>
        <w:t xml:space="preserve">€ </w:t>
      </w:r>
      <w:r>
        <w:rPr>
          <w:rFonts w:eastAsia="Times New Roman" w:cs="Arial"/>
          <w:b w:val="false"/>
          <w:bCs w:val="false"/>
          <w:sz w:val="24"/>
          <w:szCs w:val="24"/>
          <w:highlight w:val="yellow"/>
          <w:u w:val="none"/>
        </w:rPr>
        <w:t>(2.264,196 – 1.333,54) =</w:t>
      </w:r>
      <w:r>
        <w:rPr>
          <w:rFonts w:eastAsia="Times New Roman" w:cs="Arial"/>
          <w:b w:val="false"/>
          <w:bCs w:val="false"/>
          <w:sz w:val="24"/>
          <w:szCs w:val="24"/>
          <w:highlight w:val="yellow"/>
          <w:u w:val="single"/>
        </w:rPr>
        <w:t xml:space="preserve"> </w:t>
      </w:r>
      <w:r>
        <w:rPr>
          <w:rFonts w:eastAsia="Times New Roman" w:cs="Arial"/>
          <w:b/>
          <w:bCs/>
          <w:sz w:val="24"/>
          <w:szCs w:val="24"/>
          <w:highlight w:val="yellow"/>
          <w:u w:val="single"/>
        </w:rPr>
        <w:t>€ 930,66.</w:t>
      </w:r>
    </w:p>
    <w:p>
      <w:pPr>
        <w:pStyle w:val="Rientrocorpodeltesto"/>
        <w:numPr>
          <w:ilvl w:val="0"/>
          <w:numId w:val="0"/>
        </w:numPr>
        <w:tabs>
          <w:tab w:val="left" w:pos="720" w:leader="none"/>
        </w:tabs>
        <w:ind w:left="720" w:right="0" w:hanging="0"/>
        <w:jc w:val="both"/>
        <w:rPr>
          <w:rFonts w:ascii="Times New Roman" w:hAnsi="Times New Roman" w:eastAsia="Times New Roman" w:cs="Arial"/>
          <w:b/>
          <w:b/>
          <w:bCs/>
          <w:sz w:val="24"/>
          <w:szCs w:val="24"/>
          <w:u w:val="single"/>
        </w:rPr>
      </w:pPr>
      <w:r>
        <w:rPr>
          <w:rFonts w:eastAsia="Times New Roman" w:cs="Arial"/>
          <w:b/>
          <w:bCs/>
          <w:sz w:val="24"/>
          <w:szCs w:val="24"/>
          <w:u w:val="single"/>
        </w:rPr>
      </w:r>
    </w:p>
    <w:p>
      <w:pPr>
        <w:pStyle w:val="Rientrocorpodeltesto"/>
        <w:widowControl/>
        <w:numPr>
          <w:ilvl w:val="0"/>
          <w:numId w:val="0"/>
        </w:numPr>
        <w:tabs>
          <w:tab w:val="left" w:pos="720" w:leader="none"/>
        </w:tabs>
        <w:suppressAutoHyphens w:val="true"/>
        <w:bidi w:val="0"/>
        <w:ind w:left="720" w:right="0" w:hanging="0"/>
        <w:jc w:val="both"/>
        <w:rPr>
          <w:rFonts w:ascii="Times New Roman" w:hAnsi="Times New Roman" w:cs="Tahoma"/>
          <w:sz w:val="24"/>
          <w:szCs w:val="24"/>
          <w:u w:val="none"/>
        </w:rPr>
      </w:pP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2"/>
          <w:szCs w:val="22"/>
          <w:u w:val="none"/>
          <w:em w:val="none"/>
          <w:lang w:val="it-IT" w:eastAsia="zh-CN" w:bidi="ar-SA"/>
        </w:rPr>
        <w:tab/>
      </w: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2"/>
          <w:szCs w:val="22"/>
          <w:highlight w:val="yellow"/>
          <w:u w:val="none"/>
          <w:em w:val="none"/>
          <w:lang w:val="it-IT" w:eastAsia="zh-CN" w:bidi="ar-SA"/>
        </w:rPr>
        <w:t xml:space="preserve">Il versamento dell'importo di € 930,66 è da effettuarsi su </w:t>
      </w:r>
      <w:r>
        <w:rPr>
          <w:rFonts w:eastAsia="Times New Roman" w:cs="Arial"/>
          <w:b w:val="false"/>
          <w:bCs w:val="false"/>
          <w:i/>
          <w:iCs/>
          <w:strike w:val="false"/>
          <w:dstrike w:val="false"/>
          <w:outline w:val="false"/>
          <w:shadow w:val="false"/>
          <w:color w:val="auto"/>
          <w:sz w:val="22"/>
          <w:szCs w:val="22"/>
          <w:highlight w:val="yellow"/>
          <w:u w:val="none"/>
          <w:em w:val="none"/>
          <w:lang w:val="it-IT" w:eastAsia="zh-CN" w:bidi="ar-SA"/>
        </w:rPr>
        <w:t>conto corrente postale n. 11983178 ovvero su c.c. bancario intestato a: Tesoreria Comunale di Noli presso la Banca Popolare di Novara – Agenzia di Noli – Corso Italia, n. 35 (codice IBAN: IT64Q0503449450000000089010).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Arial"/>
          <w:b w:val="false"/>
          <w:b w:val="false"/>
          <w:bCs w:val="false"/>
          <w:sz w:val="22"/>
          <w:szCs w:val="22"/>
          <w:highlight w:val="yellow"/>
          <w:u w:val="single"/>
        </w:rPr>
      </w:pPr>
      <w:r>
        <w:rPr>
          <w:rFonts w:eastAsia="Times New Roman" w:cs="Arial"/>
          <w:b w:val="false"/>
          <w:bCs w:val="false"/>
          <w:sz w:val="22"/>
          <w:szCs w:val="22"/>
          <w:highlight w:val="yellow"/>
          <w:u w:val="single"/>
        </w:rPr>
      </w:r>
    </w:p>
    <w:p>
      <w:pPr>
        <w:pStyle w:val="Normal"/>
        <w:numPr>
          <w:ilvl w:val="0"/>
          <w:numId w:val="0"/>
        </w:numPr>
        <w:ind w:left="720" w:right="0" w:hanging="0"/>
        <w:jc w:val="both"/>
        <w:rPr>
          <w:rFonts w:ascii="Times New Roman" w:hAnsi="Times New Roman" w:eastAsia="Times New Roman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</w:pPr>
      <w:r>
        <w:rPr>
          <w:rFonts w:eastAsia="Times New Roman" w:cs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highlight w:val="yellow"/>
          <w:u w:val="none"/>
          <w:em w:val="none"/>
          <w:lang w:val="it-IT" w:eastAsia="zh-CN" w:bidi="ar-SA"/>
        </w:rPr>
        <w:t>2) autorizzazione/Nulla Osta dell'Ufficio vincolo idrogeologico, ricadendo in zona vincolata ai sensi del R.D. 3267/1923.</w:t>
      </w:r>
    </w:p>
    <w:p>
      <w:pPr>
        <w:pStyle w:val="Normal"/>
        <w:numPr>
          <w:ilvl w:val="0"/>
          <w:numId w:val="0"/>
        </w:numPr>
        <w:ind w:left="720" w:right="0" w:hanging="0"/>
        <w:jc w:val="both"/>
        <w:rPr>
          <w:rFonts w:ascii="Times New Roman" w:hAnsi="Times New Roman" w:cs="Tahoma"/>
          <w:b/>
          <w:b/>
          <w:bCs/>
          <w:sz w:val="22"/>
          <w:szCs w:val="22"/>
        </w:rPr>
      </w:pPr>
      <w:r>
        <w:rPr>
          <w:rFonts w:cs="Tahoma"/>
          <w:b/>
          <w:bCs/>
          <w:sz w:val="22"/>
          <w:szCs w:val="22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b/>
          <w:b/>
          <w:bCs/>
          <w:sz w:val="22"/>
          <w:szCs w:val="22"/>
          <w:highlight w:val="yellow"/>
        </w:rPr>
      </w:pPr>
      <w:r>
        <w:rPr>
          <w:rFonts w:cs="Tahoma"/>
          <w:b/>
          <w:bCs/>
          <w:sz w:val="22"/>
          <w:szCs w:val="22"/>
          <w:highlight w:val="yellow"/>
        </w:rPr>
        <w:t>In attesa delle integrazioni sopra richieste e dei riscontri sopra richiamati i termini del procedimento sono interrotti.</w:t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p>
      <w:pPr>
        <w:pStyle w:val="Normal"/>
        <w:ind w:left="0" w:right="0" w:hanging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La pratica è trattata, per quanto di competenza comunale, dall'Area Urbanistica - Edilizia privata, Responsabile d'Area: Arch. Raffaello Riba.</w:t>
      </w:r>
    </w:p>
    <w:p>
      <w:pPr>
        <w:pStyle w:val="Normal"/>
        <w:bidi w:val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Il responsabile del procedimento in materia edilizia è il geom. Giovanni Maglio - tel. 019/7499547.</w:t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ab/>
        <w:t>Il responsabile del procedimento in materia di Paesaggio è l'Arch. Raffaello Riba – tel. 019/7499536.</w:t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</w:tabs>
        <w:bidi w:val="0"/>
        <w:ind w:left="3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ab/>
        <w:t>Il termine di conclusione del procedimento è di 90 gg (100 gg se diniego) dal momento in cui l'Ufficio ha acquisito ogni documento/atto di assenso/Nulla osta necessari per il completamento dell'istanza.</w:t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ab/>
        <w:t>In caso di mancata adozione del provvedimento finale nel termine previsto, senza preventiva, motivata comunicazione, gli interessati hanno facoltà di:</w:t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>a) avanzare apposita istanza, ai sensi dell'art. 2, comma 9 ter, della citata legge 241/1990 al Segretario Comunale, in qualità di sostituto del responsabile, ex art. 2, comma 9 bis della stessa legge;</w:t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>b) presentare ricorso presso il TAR Liguria, entro n. 1 (UNO) anno dalla scadenza del predetto termine, ai sensi dell'art. 117 del D.lgs 10472010 (“Codice del processo amministrativo”).</w:t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Si informa, ai sensi del D.Lgs. n.33/2013, che il Responsabile della Trasparenza del Comune di Noli è il </w:t>
      </w:r>
      <w:r>
        <w:rPr>
          <w:rFonts w:cs="Tahoma"/>
          <w:sz w:val="20"/>
          <w:szCs w:val="20"/>
          <w:u w:val="none"/>
        </w:rPr>
        <w:t xml:space="preserve"> Segretario Comunale.</w:t>
      </w:r>
    </w:p>
    <w:p>
      <w:pPr>
        <w:pStyle w:val="Normal"/>
        <w:bidi w:val="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ind w:left="0" w:right="0" w:hanging="0"/>
        <w:jc w:val="both"/>
        <w:rPr>
          <w:rFonts w:cs="Tahoma"/>
          <w:sz w:val="21"/>
          <w:szCs w:val="21"/>
        </w:rPr>
      </w:pPr>
      <w:r>
        <w:rPr>
          <w:rFonts w:cs="Arial"/>
          <w:sz w:val="20"/>
          <w:szCs w:val="20"/>
        </w:rPr>
        <w:tab/>
        <w:t xml:space="preserve">L’Ufficio presso il quale si può prendere visione degli atti e richiedere informazioni è l’Ufficio Urbanistica sito in Piazza Milite Ignoto, con apertura al pubblico nel giorno di martedì dalle ore 9,30 alle ore 12.30, previo appuntamento ai numeri di telefono n. 019/7499534-36-47. </w:t>
      </w:r>
      <w:r>
        <w:rPr>
          <w:rFonts w:cs="Arial"/>
          <w:b w:val="false"/>
          <w:bCs w:val="false"/>
          <w:sz w:val="20"/>
          <w:szCs w:val="20"/>
          <w:u w:val="none"/>
        </w:rPr>
        <w:t xml:space="preserve">La PEC istituzionale del Comune di Noli è: </w:t>
      </w:r>
      <w:hyperlink r:id="rId5">
        <w:r>
          <w:rPr>
            <w:rStyle w:val="CollegamentoInternet"/>
            <w:rFonts w:cs="Tahoma"/>
            <w:sz w:val="20"/>
            <w:szCs w:val="20"/>
          </w:rPr>
          <w:t>protocollo@pec.comune.noli.sv.it</w:t>
        </w:r>
      </w:hyperlink>
      <w:r>
        <w:rPr>
          <w:rFonts w:cs="Arial"/>
          <w:b w:val="false"/>
          <w:bCs w:val="false"/>
          <w:sz w:val="20"/>
          <w:szCs w:val="20"/>
          <w:u w:val="none"/>
        </w:rPr>
        <w:t>.</w:t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ahoma"/>
          <w:b w:val="false"/>
          <w:b w:val="false"/>
          <w:bCs w:val="false"/>
          <w:color w:val="auto"/>
          <w:sz w:val="24"/>
          <w:szCs w:val="24"/>
          <w:lang w:val="it-IT" w:eastAsia="zh-CN" w:bidi="ar-SA"/>
        </w:rPr>
      </w:pPr>
      <w:r>
        <w:rPr>
          <w:rFonts w:eastAsia="Times New Roman" w:cs="Tahoma"/>
          <w:b w:val="false"/>
          <w:bCs w:val="false"/>
          <w:color w:val="auto"/>
          <w:sz w:val="24"/>
          <w:szCs w:val="24"/>
          <w:lang w:val="it-IT" w:eastAsia="zh-CN" w:bidi="ar-SA"/>
        </w:rPr>
      </w:r>
    </w:p>
    <w:p>
      <w:pPr>
        <w:pStyle w:val="Normal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  <w:t>Distinti saluti</w:t>
      </w:r>
    </w:p>
    <w:p>
      <w:pPr>
        <w:pStyle w:val="Normal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  <w:tab/>
        <w:tab/>
        <w:tab/>
        <w:tab/>
        <w:tab/>
        <w:tab/>
        <w:tab/>
        <w:t>Il Responsabile del Procedimento in materia edilizia</w:t>
        <w:tab/>
        <w:t xml:space="preserve">         </w:t>
        <w:tab/>
        <w:tab/>
        <w:tab/>
        <w:tab/>
        <w:tab/>
        <w:tab/>
        <w:tab/>
        <w:tab/>
      </w:r>
      <w:r>
        <w:rPr>
          <w:rFonts w:cs="Tahoma"/>
          <w:i/>
          <w:iCs/>
          <w:sz w:val="22"/>
          <w:szCs w:val="22"/>
        </w:rPr>
        <w:t>(geom. Giovanni Maglio)</w:t>
      </w:r>
      <w:r>
        <w:rPr>
          <w:rFonts w:cs="Tahoma"/>
          <w:sz w:val="22"/>
          <w:szCs w:val="22"/>
        </w:rPr>
        <w:tab/>
        <w:tab/>
        <w:tab/>
        <w:tab/>
        <w:tab/>
        <w:tab/>
        <w:t xml:space="preserve">                                                                                                                      </w:t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ahoma"/>
          <w:sz w:val="22"/>
          <w:szCs w:val="22"/>
        </w:rPr>
      </w:pPr>
      <w:r>
        <w:rPr>
          <w:rFonts w:cs="Tahoma"/>
          <w:sz w:val="22"/>
          <w:szCs w:val="22"/>
        </w:rPr>
      </w:r>
    </w:p>
    <w:sectPr>
      <w:footerReference w:type="default" r:id="rId6"/>
      <w:type w:val="nextPage"/>
      <w:pgSz w:w="11906" w:h="16838"/>
      <w:pgMar w:left="1304" w:right="1020" w:header="0" w:top="1417" w:footer="1134" w:bottom="196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OpenSymbol">
    <w:altName w:val="Arial Unicode MS"/>
    <w:charset w:val="00"/>
    <w:family w:val="auto"/>
    <w:pitch w:val="default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bidi w:val="0"/>
      <w:ind w:left="45" w:right="0" w:hanging="0"/>
      <w:jc w:val="both"/>
      <w:rPr/>
    </w:pPr>
    <w:r>
      <w:rPr>
        <w:rFonts w:eastAsia="Times New Roman" w:cs="Tahoma"/>
        <w:b w:val="false"/>
        <w:bCs w:val="false"/>
        <w:color w:val="auto"/>
        <w:sz w:val="16"/>
        <w:szCs w:val="16"/>
        <w:lang w:val="it-IT" w:eastAsia="zh-CN" w:bidi="ar-SA"/>
      </w:rPr>
      <w:t xml:space="preserve">In osservanza di quanto disposto dall'articolo 13 del </w:t>
    </w:r>
    <w:hyperlink r:id="rId1">
      <w:r>
        <w:rPr>
          <w:rStyle w:val="CollegamentoInternet"/>
          <w:rFonts w:eastAsia="Times New Roman" w:cs="Tahoma"/>
          <w:b w:val="false"/>
          <w:bCs w:val="false"/>
          <w:color w:val="000000"/>
          <w:sz w:val="16"/>
          <w:szCs w:val="16"/>
        </w:rPr>
        <w:t>Decreto Legislativo 30 giugno 2003</w:t>
      </w:r>
    </w:hyperlink>
    <w:r>
      <w:rPr>
        <w:rFonts w:eastAsia="Times New Roman" w:cs="Tahoma"/>
        <w:b w:val="false"/>
        <w:bCs w:val="false"/>
        <w:color w:val="auto"/>
        <w:sz w:val="16"/>
        <w:szCs w:val="16"/>
        <w:lang w:val="it-IT" w:eastAsia="zh-CN" w:bidi="ar-SA"/>
      </w:rPr>
      <w:t xml:space="preserve">, n. 196 "Codice in materia di protezione dei dati personali" si informa la S.V. che i dati personali acquisiti dal Comune di Noli sono raccolti e trattati  anche con  l'ausilio di mezzi elettronici esclusivamente per le finalità connesse alla procedura e gestione connessa ovvero per dare esecuzione ad obblighi previsti dalla legge. 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ito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itolo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ito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itolo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Titolo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Titolo7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;Arial Unicode MS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;Arial Unicode MS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;Arial Unicode MS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;Arial Unicode MS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;Arial Unicode M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;Arial Unicode MS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;Arial Unicode MS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;Arial Unicode MS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;Arial Unicode MS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;Arial Unicode M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Mangal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it-IT" w:eastAsia="zh-CN" w:bidi="ar-SA"/>
    </w:rPr>
  </w:style>
  <w:style w:type="paragraph" w:styleId="Titolo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szCs w:val="20"/>
    </w:rPr>
  </w:style>
  <w:style w:type="paragraph" w:styleId="Titolo2">
    <w:name w:val="Heading 2"/>
    <w:basedOn w:val="Normal"/>
    <w:next w:val="Normal"/>
    <w:qFormat/>
    <w:pPr>
      <w:keepNext/>
      <w:numPr>
        <w:ilvl w:val="1"/>
        <w:numId w:val="1"/>
      </w:numPr>
      <w:outlineLvl w:val="1"/>
      <w:outlineLvl w:val="1"/>
    </w:pPr>
    <w:rPr>
      <w:b/>
      <w:szCs w:val="20"/>
    </w:rPr>
  </w:style>
  <w:style w:type="paragraph" w:styleId="Titolo3">
    <w:name w:val="Heading 3"/>
    <w:basedOn w:val="Normal"/>
    <w:next w:val="Normal"/>
    <w:qFormat/>
    <w:pPr>
      <w:keepNext/>
      <w:numPr>
        <w:ilvl w:val="2"/>
        <w:numId w:val="1"/>
      </w:numPr>
      <w:ind w:left="0" w:right="0" w:firstLine="1134"/>
      <w:outlineLvl w:val="2"/>
      <w:outlineLvl w:val="2"/>
    </w:pPr>
    <w:rPr>
      <w:b/>
      <w:sz w:val="24"/>
    </w:rPr>
  </w:style>
  <w:style w:type="paragraph" w:styleId="Titolo4">
    <w:name w:val="Heading 4"/>
    <w:basedOn w:val="Normal"/>
    <w:next w:val="Normal"/>
    <w:qFormat/>
    <w:pPr>
      <w:keepNext/>
      <w:numPr>
        <w:ilvl w:val="3"/>
        <w:numId w:val="1"/>
      </w:numPr>
      <w:ind w:left="5387" w:right="0" w:hanging="0"/>
      <w:outlineLvl w:val="3"/>
      <w:outlineLvl w:val="3"/>
    </w:pPr>
    <w:rPr>
      <w:rFonts w:ascii="Arial" w:hAnsi="Arial" w:cs="Arial"/>
      <w:bCs/>
      <w:szCs w:val="20"/>
    </w:rPr>
  </w:style>
  <w:style w:type="paragraph" w:styleId="Titolo5">
    <w:name w:val="Heading 5"/>
    <w:basedOn w:val="Titolo"/>
    <w:next w:val="Corpodeltesto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Titolo6">
    <w:name w:val="Heading 6"/>
    <w:basedOn w:val="Titolo"/>
    <w:next w:val="Corpodeltesto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Titolo7">
    <w:name w:val="Heading 7"/>
    <w:basedOn w:val="Titolo"/>
    <w:next w:val="Corpodeltesto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8Num1z0">
    <w:name w:val="WW8Num1z0"/>
    <w:qFormat/>
    <w:rPr>
      <w:rFonts w:ascii="Arial" w:hAnsi="Arial" w:eastAsia="Times New Roman" w:cs="Aria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/>
    </w:rPr>
  </w:style>
  <w:style w:type="character" w:styleId="WW8Num1z3">
    <w:name w:val="WW8Num1z3"/>
    <w:qFormat/>
    <w:rPr>
      <w:rFonts w:ascii="Symbol" w:hAnsi="Symbol"/>
    </w:rPr>
  </w:style>
  <w:style w:type="character" w:styleId="WW8Num2z0">
    <w:name w:val="WW8Num2z0"/>
    <w:qFormat/>
    <w:rPr>
      <w:rFonts w:ascii="Calibri" w:hAnsi="Calibri" w:eastAsia="Calibri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/>
    </w:rPr>
  </w:style>
  <w:style w:type="character" w:styleId="WW8Num2z3">
    <w:name w:val="WW8Num2z3"/>
    <w:qFormat/>
    <w:rPr>
      <w:rFonts w:ascii="Symbol" w:hAnsi="Symbol"/>
    </w:rPr>
  </w:style>
  <w:style w:type="character" w:styleId="WW8Num3z0">
    <w:name w:val="WW8Num3z0"/>
    <w:qFormat/>
    <w:rPr>
      <w:rFonts w:ascii="Wingdings" w:hAnsi="Wingdings"/>
      <w:sz w:val="16"/>
    </w:rPr>
  </w:style>
  <w:style w:type="character" w:styleId="Carpredefinitoparagrafo">
    <w:name w:val="Car. predefinito paragrafo"/>
    <w:qFormat/>
    <w:rPr/>
  </w:style>
  <w:style w:type="character" w:styleId="TestofumettoCarattere">
    <w:name w:val="Testo fumetto Carattere"/>
    <w:basedOn w:val="Carpredefinitoparagrafo"/>
    <w:qFormat/>
    <w:rPr>
      <w:rFonts w:ascii="Tahoma" w:hAnsi="Tahoma" w:cs="Tahoma"/>
      <w:sz w:val="16"/>
      <w:szCs w:val="16"/>
    </w:rPr>
  </w:style>
  <w:style w:type="character" w:styleId="CorpodeltestoCarattere">
    <w:name w:val="Corpo del testo Carattere"/>
    <w:basedOn w:val="Carpredefinitoparagrafo"/>
    <w:qFormat/>
    <w:rPr>
      <w:sz w:val="24"/>
      <w:szCs w:val="24"/>
    </w:rPr>
  </w:style>
  <w:style w:type="character" w:styleId="Caratteredinumerazione">
    <w:name w:val="Carattere di numerazione"/>
    <w:qFormat/>
    <w:rPr/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sz w:val="22"/>
    </w:rPr>
  </w:style>
  <w:style w:type="character" w:styleId="WW8Num4z1">
    <w:name w:val="WW8Num4z1"/>
    <w:qFormat/>
    <w:rPr>
      <w:rFonts w:ascii="Courier New" w:hAnsi="Courier New"/>
    </w:rPr>
  </w:style>
  <w:style w:type="character" w:styleId="WW8Num4z2">
    <w:name w:val="WW8Num4z2"/>
    <w:qFormat/>
    <w:rPr>
      <w:rFonts w:ascii="Wingdings" w:hAnsi="Wingdings"/>
    </w:rPr>
  </w:style>
  <w:style w:type="character" w:styleId="WW8Num4z3">
    <w:name w:val="WW8Num4z3"/>
    <w:qFormat/>
    <w:rPr>
      <w:rFonts w:ascii="Symbol" w:hAnsi="Symbol"/>
    </w:rPr>
  </w:style>
  <w:style w:type="character" w:styleId="WW8Num14z0">
    <w:name w:val="WW8Num14z0"/>
    <w:qFormat/>
    <w:rPr>
      <w:sz w:val="22"/>
    </w:rPr>
  </w:style>
  <w:style w:type="character" w:styleId="WW8Num14z1">
    <w:name w:val="WW8Num14z1"/>
    <w:qFormat/>
    <w:rPr>
      <w:rFonts w:ascii="Courier New" w:hAnsi="Courier New"/>
    </w:rPr>
  </w:style>
  <w:style w:type="character" w:styleId="WW8Num14z2">
    <w:name w:val="WW8Num14z2"/>
    <w:qFormat/>
    <w:rPr>
      <w:rFonts w:ascii="Wingdings" w:hAnsi="Wingdings"/>
    </w:rPr>
  </w:style>
  <w:style w:type="character" w:styleId="WW8Num14z3">
    <w:name w:val="WW8Num14z3"/>
    <w:qFormat/>
    <w:rPr>
      <w:rFonts w:ascii="Symbol" w:hAnsi="Symbol"/>
    </w:rPr>
  </w:style>
  <w:style w:type="character" w:styleId="WW8Num10z0">
    <w:name w:val="WW8Num10z0"/>
    <w:qFormat/>
    <w:rPr>
      <w:sz w:val="22"/>
    </w:rPr>
  </w:style>
  <w:style w:type="character" w:styleId="WW8Num10z2">
    <w:name w:val="WW8Num10z2"/>
    <w:qFormat/>
    <w:rPr>
      <w:rFonts w:ascii="Wingdings" w:hAnsi="Wingdings"/>
    </w:rPr>
  </w:style>
  <w:style w:type="character" w:styleId="WW8Num10z3">
    <w:name w:val="WW8Num10z3"/>
    <w:qFormat/>
    <w:rPr>
      <w:rFonts w:ascii="Symbol" w:hAnsi="Symbol"/>
    </w:rPr>
  </w:style>
  <w:style w:type="character" w:styleId="WW8Num10z4">
    <w:name w:val="WW8Num10z4"/>
    <w:qFormat/>
    <w:rPr>
      <w:rFonts w:ascii="Courier New" w:hAnsi="Courier New"/>
    </w:rPr>
  </w:style>
  <w:style w:type="character" w:styleId="WW8Num12z0">
    <w:name w:val="WW8Num12z0"/>
    <w:qFormat/>
    <w:rPr>
      <w:sz w:val="22"/>
    </w:rPr>
  </w:style>
  <w:style w:type="character" w:styleId="WW8Num12z1">
    <w:name w:val="WW8Num12z1"/>
    <w:qFormat/>
    <w:rPr>
      <w:rFonts w:ascii="Courier New" w:hAnsi="Courier New"/>
    </w:rPr>
  </w:style>
  <w:style w:type="character" w:styleId="WW8Num12z2">
    <w:name w:val="WW8Num12z2"/>
    <w:qFormat/>
    <w:rPr>
      <w:rFonts w:ascii="Wingdings" w:hAnsi="Wingdings"/>
    </w:rPr>
  </w:style>
  <w:style w:type="character" w:styleId="WW8Num12z3">
    <w:name w:val="WW8Num12z3"/>
    <w:qFormat/>
    <w:rPr>
      <w:rFonts w:ascii="Symbol" w:hAnsi="Symbol"/>
    </w:rPr>
  </w:style>
  <w:style w:type="character" w:styleId="WW8Num22z0">
    <w:name w:val="WW8Num22z0"/>
    <w:qFormat/>
    <w:rPr>
      <w:sz w:val="22"/>
    </w:rPr>
  </w:style>
  <w:style w:type="character" w:styleId="WW8Num22z1">
    <w:name w:val="WW8Num22z1"/>
    <w:qFormat/>
    <w:rPr>
      <w:rFonts w:ascii="Courier New" w:hAnsi="Courier New"/>
    </w:rPr>
  </w:style>
  <w:style w:type="character" w:styleId="WW8Num22z2">
    <w:name w:val="WW8Num22z2"/>
    <w:qFormat/>
    <w:rPr>
      <w:rFonts w:ascii="Wingdings" w:hAnsi="Wingdings"/>
    </w:rPr>
  </w:style>
  <w:style w:type="character" w:styleId="WW8Num22z3">
    <w:name w:val="WW8Num22z3"/>
    <w:qFormat/>
    <w:rPr>
      <w:rFonts w:ascii="Symbol" w:hAnsi="Symbol"/>
    </w:rPr>
  </w:style>
  <w:style w:type="character" w:styleId="WW8Num28z0">
    <w:name w:val="WW8Num28z0"/>
    <w:qFormat/>
    <w:rPr>
      <w:sz w:val="22"/>
    </w:rPr>
  </w:style>
  <w:style w:type="character" w:styleId="WW8Num28z1">
    <w:name w:val="WW8Num28z1"/>
    <w:qFormat/>
    <w:rPr>
      <w:rFonts w:ascii="Courier New" w:hAnsi="Courier New"/>
    </w:rPr>
  </w:style>
  <w:style w:type="character" w:styleId="WW8Num28z2">
    <w:name w:val="WW8Num28z2"/>
    <w:qFormat/>
    <w:rPr>
      <w:rFonts w:ascii="Wingdings" w:hAnsi="Wingdings"/>
    </w:rPr>
  </w:style>
  <w:style w:type="character" w:styleId="WW8Num28z3">
    <w:name w:val="WW8Num28z3"/>
    <w:qFormat/>
    <w:rPr>
      <w:rFonts w:ascii="Symbol" w:hAnsi="Symbol"/>
    </w:rPr>
  </w:style>
  <w:style w:type="character" w:styleId="WW8Num24z0">
    <w:name w:val="WW8Num24z0"/>
    <w:qFormat/>
    <w:rPr>
      <w:sz w:val="22"/>
    </w:rPr>
  </w:style>
  <w:style w:type="character" w:styleId="WW8Num24z1">
    <w:name w:val="WW8Num24z1"/>
    <w:qFormat/>
    <w:rPr>
      <w:rFonts w:ascii="Courier New" w:hAnsi="Courier New"/>
    </w:rPr>
  </w:style>
  <w:style w:type="character" w:styleId="WW8Num24z2">
    <w:name w:val="WW8Num24z2"/>
    <w:qFormat/>
    <w:rPr>
      <w:rFonts w:ascii="Wingdings" w:hAnsi="Wingdings"/>
    </w:rPr>
  </w:style>
  <w:style w:type="character" w:styleId="WW8Num24z3">
    <w:name w:val="WW8Num24z3"/>
    <w:qFormat/>
    <w:rPr>
      <w:rFonts w:ascii="Symbol" w:hAnsi="Symbol"/>
    </w:rPr>
  </w:style>
  <w:style w:type="character" w:styleId="WW8Num8z0">
    <w:name w:val="WW8Num8z0"/>
    <w:qFormat/>
    <w:rPr>
      <w:sz w:val="22"/>
    </w:rPr>
  </w:style>
  <w:style w:type="character" w:styleId="WW8Num20z0">
    <w:name w:val="WW8Num20z0"/>
    <w:qFormat/>
    <w:rPr>
      <w:rFonts w:ascii="Times New Roman" w:hAnsi="Times New Roman"/>
    </w:rPr>
  </w:style>
  <w:style w:type="character" w:styleId="WW8Num20z1">
    <w:name w:val="WW8Num20z1"/>
    <w:qFormat/>
    <w:rPr>
      <w:rFonts w:ascii="Courier New" w:hAnsi="Courier New"/>
    </w:rPr>
  </w:style>
  <w:style w:type="character" w:styleId="WW8Num20z2">
    <w:name w:val="WW8Num20z2"/>
    <w:qFormat/>
    <w:rPr>
      <w:rFonts w:ascii="Wingdings" w:hAnsi="Wingdings"/>
    </w:rPr>
  </w:style>
  <w:style w:type="character" w:styleId="WW8Num20z3">
    <w:name w:val="WW8Num20z3"/>
    <w:qFormat/>
    <w:rPr>
      <w:rFonts w:ascii="Symbol" w:hAnsi="Symbol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Punti">
    <w:name w:val="Punti"/>
    <w:qFormat/>
    <w:rPr>
      <w:rFonts w:ascii="OpenSymbol;Arial Unicode MS" w:hAnsi="OpenSymbol;Arial Unicode MS" w:eastAsia="OpenSymbol;Arial Unicode MS" w:cs="OpenSymbol;Arial Unicode MS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Body Text Indent"/>
    <w:basedOn w:val="Normal"/>
    <w:pPr>
      <w:ind w:left="0" w:right="0" w:firstLine="900"/>
      <w:jc w:val="both"/>
    </w:pPr>
    <w:rPr/>
  </w:style>
  <w:style w:type="paragraph" w:styleId="Testofumetto">
    <w:name w:val="Testo fumetto"/>
    <w:basedOn w:val="Normal"/>
    <w:qFormat/>
    <w:pPr/>
    <w:rPr>
      <w:rFonts w:ascii="Tahoma" w:hAnsi="Tahoma" w:cs="Tahoma"/>
      <w:sz w:val="16"/>
      <w:szCs w:val="16"/>
    </w:rPr>
  </w:style>
  <w:style w:type="paragraph" w:styleId="Rientrocorpodeltesto3">
    <w:name w:val="Rientro corpo del testo 3"/>
    <w:basedOn w:val="Normal"/>
    <w:qFormat/>
    <w:pPr>
      <w:ind w:left="0" w:right="0" w:firstLine="360"/>
      <w:jc w:val="both"/>
    </w:pPr>
    <w:rPr>
      <w:rFonts w:ascii="Tahoma" w:hAnsi="Tahoma" w:cs="Tahoma"/>
    </w:rPr>
  </w:style>
  <w:style w:type="paragraph" w:styleId="NormaleWeb">
    <w:name w:val="Normale (Web)"/>
    <w:basedOn w:val="Normal"/>
    <w:qFormat/>
    <w:pPr>
      <w:widowControl w:val="false"/>
      <w:suppressAutoHyphens w:val="true"/>
      <w:spacing w:before="100" w:after="119"/>
    </w:pPr>
    <w:rPr>
      <w:sz w:val="24"/>
      <w:szCs w:val="24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Pidipagina">
    <w:name w:val="Footer"/>
    <w:basedOn w:val="Normal"/>
    <w:pPr>
      <w:suppressLineNumbers/>
      <w:tabs>
        <w:tab w:val="center" w:pos="4791" w:leader="none"/>
        <w:tab w:val="right" w:pos="9582" w:leader="none"/>
      </w:tabs>
    </w:pPr>
    <w:rPr/>
  </w:style>
  <w:style w:type="paragraph" w:styleId="Standard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textAlignment w:val="baseline"/>
    </w:pPr>
    <w:rPr>
      <w:rFonts w:ascii="Times New Roman" w:hAnsi="Times New Roman" w:eastAsia="SimSun;宋体" w:cs="Times New Roman"/>
      <w:color w:val="auto"/>
      <w:sz w:val="24"/>
      <w:szCs w:val="24"/>
      <w:lang w:val="it-IT" w:eastAsia="zh-CN" w:bidi="hi-IN"/>
    </w:rPr>
  </w:style>
  <w:style w:type="numbering" w:styleId="WW8Num1">
    <w:name w:val="WW8Num1"/>
    <w:qFormat/>
  </w:style>
  <w:style w:type="numbering" w:styleId="WW8Num4">
    <w:name w:val="WW8Num4"/>
    <w:qFormat/>
  </w:style>
  <w:style w:type="numbering" w:styleId="WW8Num14">
    <w:name w:val="WW8Num14"/>
    <w:qFormat/>
  </w:style>
  <w:style w:type="numbering" w:styleId="WW8Num10">
    <w:name w:val="WW8Num10"/>
    <w:qFormat/>
  </w:style>
  <w:style w:type="numbering" w:styleId="WW8Num12">
    <w:name w:val="WW8Num12"/>
    <w:qFormat/>
  </w:style>
  <w:style w:type="numbering" w:styleId="WW8Num22">
    <w:name w:val="WW8Num22"/>
    <w:qFormat/>
  </w:style>
  <w:style w:type="numbering" w:styleId="WW8Num28">
    <w:name w:val="WW8Num28"/>
    <w:qFormat/>
  </w:style>
  <w:style w:type="numbering" w:styleId="WW8Num24">
    <w:name w:val="WW8Num24"/>
    <w:qFormat/>
  </w:style>
  <w:style w:type="numbering" w:styleId="WW8Num8">
    <w:name w:val="WW8Num8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raffaello.riba@comune.noli.sv.it" TargetMode="External"/><Relationship Id="rId4" Type="http://schemas.openxmlformats.org/officeDocument/2006/relationships/hyperlink" Target="mailto:urbanistica@comune.noli.sv.it" TargetMode="External"/><Relationship Id="rId5" Type="http://schemas.openxmlformats.org/officeDocument/2006/relationships/hyperlink" Target="mailto:protocollo@pec.comune.noli.sv.it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parlamento.it/parlam/leggi/deleghe/03196dl.htm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3366</TotalTime>
  <Application>LibreOffice/5.2.2.2$Windows_x86 LibreOffice_project/8f96e87c890bf8fa77463cd4b640a2312823f3ad</Application>
  <Pages>2</Pages>
  <Words>592</Words>
  <Characters>3700</Characters>
  <CharactersWithSpaces>4443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2009-11-19T11:42:00Z</dcterms:created>
  <dc:creator>Ufficio Urbanistica</dc:creator>
  <dc:description/>
  <dc:language>it-IT</dc:language>
  <cp:lastModifiedBy/>
  <cp:lastPrinted>2015-09-22T14:13:10Z</cp:lastPrinted>
  <dcterms:modified xsi:type="dcterms:W3CDTF">2017-02-08T11:15:12Z</dcterms:modified>
  <cp:revision>144</cp:revision>
  <dc:subject/>
  <dc:title>                                             </dc:title>
</cp:coreProperties>
</file>