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-842645</wp:posOffset>
            </wp:positionV>
            <wp:extent cx="6084570" cy="138874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0"/>
        </w:rPr>
        <w:t>A</w:t>
      </w:r>
      <w:r>
        <w:rPr>
          <w:rFonts w:cs="Arial" w:ascii="Arial" w:hAnsi="Arial"/>
          <w:b/>
          <w:sz w:val="20"/>
        </w:rPr>
        <w:t>REA  SVILUPPO URBANISTICO</w:t>
      </w:r>
    </w:p>
    <w:p>
      <w:pPr>
        <w:pStyle w:val="Intestazione"/>
        <w:jc w:val="center"/>
        <w:rPr/>
      </w:pPr>
      <w:r>
        <w:rPr>
          <w:rFonts w:cs="Arial" w:ascii="Arial" w:hAnsi="Arial"/>
          <w:b/>
          <w:sz w:val="16"/>
        </w:rPr>
        <w:t>Piazza Milite Ignoto n.6 – 17026</w:t>
      </w:r>
    </w:p>
    <w:p>
      <w:pPr>
        <w:pStyle w:val="Intestazione"/>
        <w:jc w:val="center"/>
        <w:rPr/>
      </w:pPr>
      <w:r>
        <w:rPr>
          <w:rFonts w:cs="Arial" w:ascii="Arial" w:hAnsi="Arial"/>
          <w:b/>
          <w:sz w:val="16"/>
        </w:rPr>
        <w:t>Tel. 019/7499520</w:t>
      </w:r>
    </w:p>
    <w:p>
      <w:pPr>
        <w:pStyle w:val="Titolo2"/>
        <w:numPr>
          <w:ilvl w:val="1"/>
          <w:numId w:val="4"/>
        </w:numPr>
        <w:jc w:val="center"/>
        <w:rPr/>
      </w:pPr>
      <w:r>
        <w:rPr>
          <w:rFonts w:cs="Arial" w:ascii="Arial" w:hAnsi="Arial"/>
          <w:b w:val="false"/>
          <w:bCs/>
          <w:sz w:val="16"/>
          <w:szCs w:val="12"/>
        </w:rPr>
        <w:t xml:space="preserve">e-mail: </w:t>
      </w:r>
      <w:hyperlink r:id="rId3">
        <w:r>
          <w:rPr>
            <w:rStyle w:val="CollegamentoInternet"/>
            <w:rFonts w:cs="Arial" w:ascii="Arial" w:hAnsi="Arial"/>
            <w:b w:val="false"/>
            <w:bCs/>
            <w:sz w:val="16"/>
            <w:szCs w:val="12"/>
          </w:rPr>
          <w:t>raffaello.riba@comune.noli.sv.it</w:t>
        </w:r>
      </w:hyperlink>
    </w:p>
    <w:p>
      <w:pPr>
        <w:pStyle w:val="Titolo2"/>
        <w:numPr>
          <w:ilvl w:val="1"/>
          <w:numId w:val="4"/>
        </w:numPr>
        <w:jc w:val="center"/>
        <w:rPr/>
      </w:pPr>
      <w:r>
        <w:rPr>
          <w:rFonts w:cs="Arial" w:ascii="Arial" w:hAnsi="Arial"/>
          <w:b w:val="false"/>
          <w:bCs/>
          <w:sz w:val="16"/>
        </w:rPr>
        <w:t xml:space="preserve"> </w:t>
      </w:r>
      <w:r>
        <w:rPr>
          <w:rFonts w:cs="Arial" w:ascii="Arial" w:hAnsi="Arial"/>
          <w:b w:val="false"/>
          <w:bCs/>
          <w:sz w:val="16"/>
        </w:rPr>
        <w:t xml:space="preserve">e-mail: </w:t>
      </w:r>
      <w:hyperlink r:id="rId4">
        <w:r>
          <w:rPr>
            <w:rStyle w:val="CollegamentoInternet"/>
            <w:rFonts w:cs="Arial" w:ascii="Arial" w:hAnsi="Arial"/>
            <w:b w:val="false"/>
            <w:bCs/>
            <w:sz w:val="16"/>
          </w:rPr>
          <w:t>urbanistica@comune.noli.sv.it</w:t>
        </w:r>
      </w:hyperlink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</w:rPr>
        <w:t>RACCOMANDATA A/R - PEC</w:t>
      </w:r>
    </w:p>
    <w:p>
      <w:pPr>
        <w:pStyle w:val="Titolo2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olo2"/>
        <w:numPr>
          <w:ilvl w:val="1"/>
          <w:numId w:val="4"/>
        </w:numPr>
        <w:rPr/>
      </w:pPr>
      <w:r>
        <w:rPr>
          <w:rFonts w:cs="Arial"/>
          <w:b w:val="false"/>
          <w:bCs w:val="false"/>
          <w:sz w:val="22"/>
          <w:szCs w:val="22"/>
        </w:rPr>
        <w:t>P</w:t>
      </w:r>
      <w:r>
        <w:rPr>
          <w:rFonts w:cs="Tahoma"/>
          <w:b w:val="false"/>
          <w:bCs w:val="false"/>
          <w:sz w:val="22"/>
          <w:szCs w:val="22"/>
        </w:rPr>
        <w:t>rot. n. ____________</w:t>
        <w:tab/>
        <w:tab/>
        <w:tab/>
        <w:tab/>
        <w:tab/>
        <w:tab/>
        <w:t xml:space="preserve">          </w:t>
        <w:tab/>
        <w:tab/>
        <w:t xml:space="preserve"> Noli, _________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/>
          <w:b/>
          <w:bCs/>
          <w:sz w:val="22"/>
          <w:szCs w:val="22"/>
        </w:rPr>
      </w:pPr>
      <w:r>
        <w:rPr>
          <w:rFonts w:cs="Tahoma"/>
          <w:b/>
          <w:bCs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/>
          <w:b/>
          <w:bCs/>
          <w:sz w:val="22"/>
          <w:szCs w:val="22"/>
        </w:rPr>
      </w:pPr>
      <w:r>
        <w:rPr>
          <w:rFonts w:cs="Tahoma"/>
          <w:b/>
          <w:bCs/>
          <w:sz w:val="22"/>
          <w:szCs w:val="22"/>
        </w:rPr>
      </w:r>
    </w:p>
    <w:p>
      <w:pPr>
        <w:pStyle w:val="Normal"/>
        <w:ind w:left="0" w:right="0" w:hanging="0"/>
        <w:jc w:val="both"/>
        <w:rPr/>
      </w:pPr>
      <w:r>
        <w:rPr>
          <w:rFonts w:cs="Tahoma"/>
          <w:b/>
          <w:bCs/>
          <w:sz w:val="22"/>
          <w:szCs w:val="22"/>
        </w:rPr>
        <w:t>Oggetto: [tipo_pratica] – [oggetto]. Immobile identificato a catasto al [elenco_cu] [elenco_ct] – Proprietà [elenco_richiedenti].</w:t>
      </w:r>
    </w:p>
    <w:p>
      <w:pPr>
        <w:pStyle w:val="Rientrocorpodeltesto"/>
        <w:widowControl/>
        <w:tabs>
          <w:tab w:val="left" w:pos="225" w:leader="none"/>
        </w:tabs>
        <w:suppressAutoHyphens w:val="true"/>
        <w:bidi w:val="0"/>
        <w:spacing w:lineRule="auto" w:line="240"/>
        <w:ind w:left="0" w:right="0" w:hanging="0"/>
        <w:jc w:val="both"/>
        <w:rPr>
          <w:rFonts w:ascii="Times New Roman" w:hAnsi="Times New Roman" w:eastAsia="Times New Roman" w:cs="Arial"/>
          <w:b/>
          <w:b/>
          <w:bCs/>
          <w:i/>
          <w:i/>
          <w:iCs/>
          <w:strike w:val="false"/>
          <w:dstrike w:val="false"/>
          <w:outline w:val="false"/>
          <w:shadow w:val="false"/>
          <w:color w:val="auto"/>
          <w:sz w:val="24"/>
          <w:szCs w:val="24"/>
          <w:u w:val="single"/>
          <w:em w:val="none"/>
          <w:lang w:val="it-IT" w:eastAsia="zh-CN" w:bidi="ar-SA"/>
        </w:rPr>
      </w:pPr>
      <w:r>
        <w:rPr>
          <w:rFonts w:eastAsia="Times New Roman" w:cs="Tahoma"/>
          <w:b/>
          <w:bCs/>
          <w:i/>
          <w:iCs/>
          <w:strike w:val="false"/>
          <w:dstrike w:val="false"/>
          <w:outline w:val="false"/>
          <w:shadow w:val="false"/>
          <w:color w:val="auto"/>
          <w:sz w:val="22"/>
          <w:szCs w:val="22"/>
          <w:u w:val="single"/>
          <w:em w:val="none"/>
          <w:lang w:val="it-IT" w:eastAsia="zh-CN" w:bidi="ar-SA"/>
        </w:rPr>
        <w:t>Diffida a non effettuare i previsti interventi, ai sensi dell'art. 30, c.1 lett. a) della  L.r. 16/2008 e s.m.i. per gli interventi di D.I.A.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tbl>
      <w:tblPr>
        <w:tblW w:w="9635" w:type="dxa"/>
        <w:jc w:val="left"/>
        <w:tblInd w:w="53" w:type="dxa"/>
        <w:tblBorders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791"/>
        <w:gridCol w:w="4844"/>
      </w:tblGrid>
      <w:tr>
        <w:trPr/>
        <w:tc>
          <w:tcPr>
            <w:tcW w:w="4791" w:type="dxa"/>
            <w:tcBorders/>
            <w:shd w:fill="auto" w:val="clear"/>
          </w:tcPr>
          <w:p>
            <w:pPr>
              <w:pStyle w:val="Normal"/>
              <w:ind w:left="0" w:right="0" w:hanging="0"/>
              <w:jc w:val="right"/>
              <w:rPr/>
            </w:pPr>
            <w:r>
              <w:rPr>
                <w:rFonts w:cs="Tahoma"/>
                <w:sz w:val="22"/>
                <w:szCs w:val="22"/>
              </w:rPr>
              <w:t>Al</w:t>
            </w:r>
          </w:p>
        </w:tc>
        <w:tc>
          <w:tcPr>
            <w:tcW w:w="4844" w:type="dxa"/>
            <w:tcBorders/>
            <w:shd w:fill="auto" w:val="clear"/>
          </w:tcPr>
          <w:tbl>
            <w:tblPr>
              <w:tblW w:w="4681" w:type="dxa"/>
              <w:jc w:val="left"/>
              <w:tblInd w:w="0" w:type="dxa"/>
              <w:tblBorders/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81"/>
            </w:tblGrid>
            <w:tr>
              <w:trPr/>
              <w:tc>
                <w:tcPr>
                  <w:tcW w:w="4681" w:type="dxa"/>
                  <w:tcBorders/>
                  <w:shd w:fill="auto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 ([richiedenti.prov])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[richiedenti.pec]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4791" w:type="dxa"/>
            <w:tcBorders/>
            <w:shd w:fill="auto" w:val="clear"/>
          </w:tcPr>
          <w:p>
            <w:pPr>
              <w:pStyle w:val="Normal"/>
              <w:tabs>
                <w:tab w:val="left" w:pos="6510" w:leader="none"/>
              </w:tabs>
              <w:ind w:left="0" w:right="0" w:hanging="0"/>
              <w:jc w:val="right"/>
              <w:rPr/>
            </w:pPr>
            <w:r>
              <w:rPr>
                <w:rFonts w:cs="Arial"/>
                <w:b w:val="false"/>
                <w:bCs w:val="false"/>
                <w:i w:val="false"/>
                <w:sz w:val="22"/>
                <w:szCs w:val="22"/>
                <w:u w:val="none"/>
              </w:rPr>
              <w:t>e p.c.</w:t>
            </w:r>
          </w:p>
        </w:tc>
        <w:tc>
          <w:tcPr>
            <w:tcW w:w="4844" w:type="dxa"/>
            <w:tcBorders/>
            <w:shd w:fill="auto" w:val="clear"/>
          </w:tcPr>
          <w:tbl>
            <w:tblPr>
              <w:tblW w:w="4681" w:type="dxa"/>
              <w:jc w:val="left"/>
              <w:tblInd w:w="0" w:type="dxa"/>
              <w:tblBorders/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81"/>
            </w:tblGrid>
            <w:tr>
              <w:trPr/>
              <w:tc>
                <w:tcPr>
                  <w:tcW w:w="4681" w:type="dxa"/>
                  <w:tcBorders/>
                  <w:shd w:fill="auto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[progettisti.nominativo;block=tbs:row]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[progettisti.indirizzo]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[progettisti.cap] [progettisti.comune] ([progettisti.prov])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[progettisti.pec]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jc w:val="both"/>
        <w:rPr>
          <w:rFonts w:ascii="Times New Roman" w:hAnsi="Times New Roman" w:cs="Arial"/>
          <w:b w:val="false"/>
          <w:b w:val="false"/>
          <w:bCs w:val="false"/>
          <w:i w:val="false"/>
          <w:i w:val="false"/>
          <w:color w:val="280099"/>
          <w:sz w:val="20"/>
          <w:szCs w:val="20"/>
          <w:u w:val="none"/>
        </w:rPr>
      </w:pPr>
      <w:r>
        <w:rPr>
          <w:rFonts w:cs="Arial"/>
          <w:b w:val="false"/>
          <w:bCs w:val="false"/>
          <w:i w:val="false"/>
          <w:color w:val="280099"/>
          <w:sz w:val="20"/>
          <w:szCs w:val="20"/>
          <w:u w:val="none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4"/>
          <w:szCs w:val="24"/>
        </w:rPr>
      </w:pPr>
      <w:r>
        <w:rPr>
          <w:rFonts w:cs="Tahoma"/>
          <w:sz w:val="24"/>
          <w:szCs w:val="24"/>
        </w:rPr>
      </w:r>
    </w:p>
    <w:p>
      <w:pPr>
        <w:pStyle w:val="Normal"/>
        <w:ind w:left="5388" w:right="0" w:hanging="0"/>
        <w:jc w:val="both"/>
        <w:rPr>
          <w:rFonts w:ascii="Times New Roman" w:hAnsi="Times New Roman" w:cs="Tahoma"/>
          <w:sz w:val="24"/>
          <w:szCs w:val="24"/>
        </w:rPr>
      </w:pPr>
      <w:r>
        <w:rPr>
          <w:rFonts w:cs="Tahoma"/>
          <w:sz w:val="24"/>
          <w:szCs w:val="24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>Con riferimento alla pratica in oggetto, presentata in data [data_protocollo] e acquisita presso codesto Comune con Prot. n. [protocollo],</w:t>
      </w:r>
      <w:r>
        <w:rPr>
          <w:rFonts w:cs="Tahoma"/>
          <w:sz w:val="24"/>
          <w:szCs w:val="24"/>
        </w:rPr>
        <w:t xml:space="preserve"> si notificano, ai sensi dell'art. 30, c.1, lett. a) della L.r. 16/2008 e s.m.i. </w:t>
      </w:r>
      <w:r>
        <w:rPr>
          <w:rFonts w:cs="Tahoma"/>
          <w:b/>
          <w:bCs/>
          <w:sz w:val="24"/>
          <w:szCs w:val="24"/>
          <w:u w:val="single"/>
        </w:rPr>
        <w:t>i seguenti motivi ostativi per la procedibilità dell'istanza in oggetto:</w:t>
      </w:r>
      <w:r>
        <w:rPr>
          <w:rFonts w:cs="Tahoma"/>
          <w:b/>
          <w:bCs/>
          <w:sz w:val="24"/>
          <w:szCs w:val="24"/>
        </w:rPr>
        <w:t xml:space="preserve"> 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4"/>
          <w:szCs w:val="24"/>
        </w:rPr>
      </w:pPr>
      <w:r>
        <w:rPr>
          <w:rFonts w:cs="Tahoma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right="0" w:hanging="0"/>
        <w:jc w:val="both"/>
        <w:rPr>
          <w:highlight w:val="yellow"/>
        </w:rPr>
      </w:pPr>
      <w:r>
        <w:rPr>
          <w:rFonts w:cs="Tahoma"/>
          <w:b w:val="false"/>
          <w:bCs w:val="false"/>
          <w:sz w:val="24"/>
          <w:szCs w:val="24"/>
          <w:highlight w:val="yellow"/>
          <w:u w:val="none"/>
        </w:rPr>
        <w:t xml:space="preserve">L'altezza interna dei locali dei quali viene richiesto il mutamento di destinazione d'uso non rispetta quanto prescritto dal D.M. 5 luglio 1975, nonché dall'art. 21 del regolamento Edilizio del Comune di Noli (altezza minima interna dei locali destinati alla residenza, uffici, studi professionali) che prescrive: “ </w:t>
      </w:r>
      <w:r>
        <w:rPr>
          <w:rFonts w:cs="Tahoma"/>
          <w:b w:val="false"/>
          <w:bCs w:val="false"/>
          <w:i/>
          <w:iCs/>
          <w:sz w:val="24"/>
          <w:szCs w:val="24"/>
          <w:highlight w:val="yellow"/>
          <w:u w:val="none"/>
        </w:rPr>
        <w:t>… per gli interventi di nuova realizzazione che per quelli di ristrutturazione relativi ad interi corpi scala, l'altezza minima interna dei locali sopra indicati non deve essere inferiore a mt. 2,70 ...”.</w:t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>
          <w:rFonts w:ascii="Times New Roman" w:hAnsi="Times New Roman" w:cs="Tahoma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ahoma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>
          <w:highlight w:val="yellow"/>
        </w:rPr>
      </w:pPr>
      <w:r>
        <w:rPr>
          <w:rFonts w:cs="Tahoma"/>
          <w:b w:val="false"/>
          <w:bCs w:val="false"/>
          <w:i w:val="false"/>
          <w:iCs w:val="false"/>
          <w:sz w:val="24"/>
          <w:szCs w:val="24"/>
          <w:highlight w:val="yellow"/>
          <w:u w:val="none"/>
        </w:rPr>
        <w:t xml:space="preserve">Si segnala a riguardo che l' altezza interna del piano terra, seppur asseverata la legittimazione giuridica dello stato di fatto dell'immobile oggetto dell'intervento, risulta  </w:t>
      </w:r>
      <w:r>
        <w:rPr>
          <w:rFonts w:cs="Tahoma"/>
          <w:b/>
          <w:bCs/>
          <w:i w:val="false"/>
          <w:iCs w:val="false"/>
          <w:sz w:val="24"/>
          <w:szCs w:val="24"/>
          <w:highlight w:val="yellow"/>
          <w:u w:val="none"/>
        </w:rPr>
        <w:t xml:space="preserve">incongruente </w:t>
      </w:r>
      <w:r>
        <w:rPr>
          <w:rFonts w:cs="Tahoma"/>
          <w:b w:val="false"/>
          <w:bCs w:val="false"/>
          <w:i w:val="false"/>
          <w:iCs w:val="false"/>
          <w:sz w:val="24"/>
          <w:szCs w:val="24"/>
          <w:highlight w:val="yellow"/>
          <w:u w:val="none"/>
        </w:rPr>
        <w:t>con gli elaborati allegati alla pratica SCIA del 26/06/2014, prot. n. 7538, dall'elaborato allegato alla comunicazione di fine lavori, e dalla Dichiarazione  agibilità, a firma Arch. Marcello Passerini.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4"/>
          <w:szCs w:val="24"/>
        </w:rPr>
      </w:pPr>
      <w:r>
        <w:rPr>
          <w:rFonts w:cs="Tahoma"/>
          <w:sz w:val="24"/>
          <w:szCs w:val="24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4"/>
          <w:szCs w:val="24"/>
          <w:highlight w:val="yellow"/>
        </w:rPr>
      </w:pPr>
      <w:r>
        <w:rPr>
          <w:rFonts w:cs="Tahoma"/>
          <w:sz w:val="24"/>
          <w:szCs w:val="24"/>
          <w:highlight w:val="yellow"/>
        </w:rPr>
        <w:tab/>
      </w:r>
      <w:r>
        <w:rPr>
          <w:rFonts w:cs="Tahoma"/>
          <w:b/>
          <w:bCs/>
          <w:sz w:val="24"/>
          <w:szCs w:val="24"/>
          <w:highlight w:val="yellow"/>
          <w:u w:val="single"/>
        </w:rPr>
        <w:t>A prescindere dalle dirimenti considerazioni di cui sopra si rileva quanto segue: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/>
          <w:b/>
          <w:bCs/>
          <w:sz w:val="24"/>
          <w:szCs w:val="24"/>
          <w:highlight w:val="yellow"/>
          <w:u w:val="single"/>
        </w:rPr>
      </w:pPr>
      <w:r>
        <w:rPr>
          <w:rFonts w:cs="Tahoma"/>
          <w:b/>
          <w:bCs/>
          <w:sz w:val="24"/>
          <w:szCs w:val="24"/>
          <w:highlight w:val="yellow"/>
          <w:u w:val="single"/>
        </w:rPr>
      </w:r>
    </w:p>
    <w:p>
      <w:pPr>
        <w:pStyle w:val="Normal"/>
        <w:ind w:left="0" w:right="0" w:hanging="0"/>
        <w:jc w:val="both"/>
        <w:rPr>
          <w:highlight w:val="yellow"/>
        </w:rPr>
      </w:pPr>
      <w:r>
        <w:rPr>
          <w:rFonts w:cs="Tahoma"/>
          <w:b/>
          <w:bCs/>
          <w:i w:val="false"/>
          <w:sz w:val="22"/>
          <w:szCs w:val="22"/>
          <w:highlight w:val="yellow"/>
          <w:u w:val="none"/>
        </w:rPr>
        <w:t xml:space="preserve">Per quanto attiene alla parte burocratico-amministrativa: </w:t>
      </w:r>
      <w:r>
        <w:rPr>
          <w:rFonts w:eastAsia="Times New Roman" w:cs="Tahoma"/>
          <w:b w:val="false"/>
          <w:bCs w:val="false"/>
          <w:i w:val="false"/>
          <w:iCs w:val="false"/>
          <w:color w:val="000000"/>
          <w:sz w:val="22"/>
          <w:szCs w:val="22"/>
          <w:highlight w:val="yellow"/>
          <w:u w:val="none"/>
          <w:lang w:val="it-IT" w:eastAsia="zh-CN" w:bidi="ar-SA"/>
        </w:rPr>
        <w:t xml:space="preserve">Versamento dei diritti di segreteria quantificati in € 120,00, </w:t>
      </w:r>
      <w:r>
        <w:rPr>
          <w:rFonts w:eastAsia="Times New Roman" w:cs="Tahoma"/>
          <w:b w:val="false"/>
          <w:bCs w:val="false"/>
          <w:i w:val="false"/>
          <w:iCs w:val="false"/>
          <w:color w:val="auto"/>
          <w:sz w:val="22"/>
          <w:szCs w:val="22"/>
          <w:highlight w:val="yellow"/>
          <w:u w:val="none"/>
          <w:lang w:val="it-IT" w:eastAsia="zh-CN" w:bidi="ar-SA"/>
        </w:rPr>
        <w:t xml:space="preserve">in applicazione della Delibera della Giunta Comunale n. 5 del 10/02/2016, da effettuarsi su </w:t>
      </w:r>
      <w:r>
        <w:rPr>
          <w:rFonts w:eastAsia="Times New Roman" w:cs="Tahoma"/>
          <w:b w:val="false"/>
          <w:bCs w:val="false"/>
          <w:i w:val="false"/>
          <w:iCs/>
          <w:color w:val="auto"/>
          <w:sz w:val="22"/>
          <w:szCs w:val="22"/>
          <w:highlight w:val="yellow"/>
          <w:u w:val="none"/>
          <w:lang w:val="it-IT" w:eastAsia="zh-CN" w:bidi="ar-SA"/>
        </w:rPr>
        <w:t xml:space="preserve">conto corrente n. 11983178 intestato a: Tesoreria Comunale di Noli presso la Banca Popolare di Novara – Agenzia di Noli – Corso Italia, n. 35 </w:t>
      </w:r>
      <w:r>
        <w:rPr>
          <w:rFonts w:eastAsia="Times New Roman" w:cs="Tahoma"/>
          <w:b/>
          <w:bCs/>
          <w:i w:val="false"/>
          <w:iCs/>
          <w:color w:val="auto"/>
          <w:sz w:val="22"/>
          <w:szCs w:val="22"/>
          <w:highlight w:val="yellow"/>
          <w:u w:val="none"/>
          <w:lang w:val="it-IT" w:eastAsia="zh-CN" w:bidi="ar-SA"/>
        </w:rPr>
        <w:t>(codice IBAN: IT64Q0503449450000000089010)</w:t>
      </w:r>
      <w:r>
        <w:rPr>
          <w:rFonts w:eastAsia="Times New Roman" w:cs="Tahoma"/>
          <w:b w:val="false"/>
          <w:bCs w:val="false"/>
          <w:i w:val="false"/>
          <w:iCs/>
          <w:color w:val="auto"/>
          <w:sz w:val="22"/>
          <w:szCs w:val="22"/>
          <w:highlight w:val="yellow"/>
          <w:u w:val="none"/>
          <w:lang w:val="it-IT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cs="Tahoma"/>
          <w:b/>
          <w:b/>
          <w:bCs/>
          <w:sz w:val="24"/>
          <w:szCs w:val="24"/>
          <w:u w:val="none"/>
        </w:rPr>
      </w:pPr>
      <w:r>
        <w:rPr>
          <w:rFonts w:cs="Tahoma"/>
          <w:b/>
          <w:bCs/>
          <w:sz w:val="24"/>
          <w:szCs w:val="24"/>
          <w:u w:val="none"/>
        </w:rPr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/>
          <w:b/>
          <w:bCs/>
          <w:color w:val="auto"/>
          <w:sz w:val="24"/>
          <w:szCs w:val="24"/>
          <w:lang w:val="it-IT" w:eastAsia="zh-CN" w:bidi="ar-SA"/>
        </w:rPr>
        <w:tab/>
      </w:r>
      <w:r>
        <w:rPr>
          <w:rFonts w:eastAsia="Times New Roman"/>
          <w:b/>
          <w:bCs/>
          <w:i w:val="false"/>
          <w:iCs w:val="false"/>
          <w:color w:val="auto"/>
          <w:sz w:val="24"/>
          <w:szCs w:val="24"/>
          <w:u w:val="single"/>
          <w:lang w:val="it-IT" w:eastAsia="zh-CN" w:bidi="ar-SA"/>
        </w:rPr>
        <w:t>Per quanto sopra rilevato,</w:t>
      </w:r>
      <w:r>
        <w:rPr>
          <w:rFonts w:eastAsia="Times New Roman" w:cs="Arial"/>
          <w:b/>
          <w:bCs/>
          <w:i w:val="false"/>
          <w:iCs w:val="false"/>
          <w:color w:val="auto"/>
          <w:sz w:val="24"/>
          <w:szCs w:val="24"/>
          <w:u w:val="single"/>
          <w:lang w:val="it-IT" w:eastAsia="zh-CN" w:bidi="ar-SA"/>
        </w:rPr>
        <w:t xml:space="preserve"> con l</w:t>
      </w:r>
      <w:r>
        <w:rPr>
          <w:rFonts w:eastAsia="Times New Roman"/>
          <w:b/>
          <w:bCs/>
          <w:i w:val="false"/>
          <w:iCs w:val="false"/>
          <w:color w:val="auto"/>
          <w:sz w:val="24"/>
          <w:szCs w:val="24"/>
          <w:u w:val="single"/>
          <w:lang w:val="it-IT" w:eastAsia="zh-CN" w:bidi="ar-SA"/>
        </w:rPr>
        <w:t>a presente si diffida la S.V. a</w:t>
      </w:r>
      <w:r>
        <w:rPr>
          <w:rFonts w:eastAsia="Times New Roman" w:cs="Arial"/>
          <w:b/>
          <w:bCs/>
          <w:i w:val="false"/>
          <w:iCs w:val="false"/>
          <w:color w:val="auto"/>
          <w:sz w:val="24"/>
          <w:szCs w:val="24"/>
          <w:u w:val="single"/>
          <w:lang w:val="it-IT" w:eastAsia="zh-CN" w:bidi="ar-SA"/>
        </w:rPr>
        <w:t xml:space="preserve"> non effettuare i previsti interventi, </w:t>
      </w:r>
      <w:r>
        <w:rPr>
          <w:rFonts w:eastAsia="Times New Roman"/>
          <w:b/>
          <w:bCs/>
          <w:i w:val="false"/>
          <w:iCs w:val="false"/>
          <w:color w:val="auto"/>
          <w:sz w:val="24"/>
          <w:szCs w:val="24"/>
          <w:u w:val="single"/>
          <w:lang w:val="it-IT" w:eastAsia="zh-CN" w:bidi="ar-SA"/>
        </w:rPr>
        <w:t>ai sensi dell'art. 30, c.1 lett. a) della L. 16/2008 e s.m.i., relativi alla D.I.A. in oggetto.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Arial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  <w:lang w:val="it-IT" w:eastAsia="zh-CN" w:bidi="ar-SA"/>
        </w:rPr>
      </w:pPr>
      <w:r>
        <w:rPr>
          <w:rFonts w:eastAsia="Times New Roman" w:cs="Arial"/>
          <w:b/>
          <w:bCs/>
          <w:i w:val="false"/>
          <w:iCs w:val="false"/>
          <w:color w:val="auto"/>
          <w:sz w:val="24"/>
          <w:szCs w:val="24"/>
          <w:u w:val="single"/>
          <w:lang w:val="it-IT" w:eastAsia="zh-CN" w:bidi="ar-SA"/>
        </w:rPr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Arial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it-IT" w:eastAsia="zh-CN" w:bidi="ar-SA"/>
        </w:rPr>
        <w:tab/>
      </w:r>
      <w:r>
        <w:rPr>
          <w:rFonts w:eastAsia="Times New Roman" w:cs="Arial"/>
          <w:b/>
          <w:bCs/>
          <w:i w:val="false"/>
          <w:iCs w:val="false"/>
          <w:color w:val="auto"/>
          <w:sz w:val="24"/>
          <w:szCs w:val="24"/>
          <w:u w:val="none"/>
          <w:lang w:val="it-IT" w:eastAsia="zh-CN" w:bidi="ar-SA"/>
        </w:rPr>
        <w:t>L'Ufficio rimane a disposizione per qualsiasi chiarimento.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Arial"/>
          <w:b/>
          <w:b/>
          <w:bCs/>
          <w:i w:val="false"/>
          <w:i w:val="false"/>
          <w:iCs w:val="false"/>
          <w:color w:val="auto"/>
          <w:sz w:val="22"/>
          <w:szCs w:val="22"/>
          <w:u w:val="none"/>
          <w:lang w:val="it-IT" w:eastAsia="zh-CN" w:bidi="ar-SA"/>
        </w:rPr>
      </w:pPr>
      <w:r>
        <w:rPr>
          <w:rFonts w:eastAsia="Times New Roman" w:cs="Arial"/>
          <w:b/>
          <w:bCs/>
          <w:i w:val="false"/>
          <w:iCs w:val="false"/>
          <w:color w:val="auto"/>
          <w:sz w:val="22"/>
          <w:szCs w:val="22"/>
          <w:u w:val="none"/>
          <w:lang w:val="it-IT" w:eastAsia="zh-CN" w:bidi="ar-SA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Arial"/>
          <w:b/>
          <w:b/>
          <w:bCs/>
          <w:i w:val="false"/>
          <w:i w:val="false"/>
          <w:iCs w:val="false"/>
          <w:color w:val="auto"/>
          <w:sz w:val="22"/>
          <w:szCs w:val="22"/>
          <w:u w:val="none"/>
          <w:lang w:val="it-IT" w:eastAsia="zh-CN" w:bidi="ar-SA"/>
        </w:rPr>
      </w:pPr>
      <w:r>
        <w:rPr>
          <w:rFonts w:eastAsia="Times New Roman" w:cs="Arial"/>
          <w:b/>
          <w:bCs/>
          <w:i w:val="false"/>
          <w:iCs w:val="false"/>
          <w:color w:val="auto"/>
          <w:sz w:val="22"/>
          <w:szCs w:val="22"/>
          <w:u w:val="none"/>
          <w:lang w:val="it-IT" w:eastAsia="zh-CN" w:bidi="ar-SA"/>
        </w:rPr>
        <w:tab/>
        <w:t xml:space="preserve">È fatta salva l'attività di vigilanza in materia urbanistico-edilizia dell'Ufficio scrivente ai sensi dell'art. 27 del DPR 380/2001 e s.m.i. e dell'art. 40 della L.r. 16/2008 e s.m.i.  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Arial"/>
          <w:b/>
          <w:b/>
          <w:bCs/>
          <w:i w:val="false"/>
          <w:i w:val="false"/>
          <w:iCs w:val="false"/>
          <w:color w:val="auto"/>
          <w:sz w:val="22"/>
          <w:szCs w:val="22"/>
          <w:u w:val="none"/>
          <w:lang w:val="it-IT" w:eastAsia="zh-CN" w:bidi="ar-SA"/>
        </w:rPr>
      </w:pPr>
      <w:r>
        <w:rPr>
          <w:rFonts w:eastAsia="Times New Roman" w:cs="Arial"/>
          <w:b/>
          <w:bCs/>
          <w:i w:val="false"/>
          <w:iCs w:val="false"/>
          <w:color w:val="auto"/>
          <w:sz w:val="22"/>
          <w:szCs w:val="22"/>
          <w:u w:val="none"/>
          <w:lang w:val="it-IT" w:eastAsia="zh-CN" w:bidi="ar-SA"/>
        </w:rPr>
      </w:r>
    </w:p>
    <w:p>
      <w:pPr>
        <w:pStyle w:val="Normal"/>
        <w:ind w:left="0" w:right="0" w:hanging="0"/>
        <w:jc w:val="both"/>
        <w:rPr/>
      </w:pPr>
      <w:r>
        <w:rPr>
          <w:rFonts w:cs="Tahoma"/>
          <w:sz w:val="22"/>
          <w:szCs w:val="22"/>
        </w:rPr>
        <w:tab/>
      </w:r>
      <w:r>
        <w:rPr>
          <w:rFonts w:cs="Tahoma"/>
          <w:sz w:val="21"/>
          <w:szCs w:val="21"/>
        </w:rPr>
        <w:t>La pratica è trattata, per quanto di competenza comunale, dall'Area Urbanistica Edilizia Demanio - Responsabile d'Area: Arch. Raffaello Riba.</w:t>
      </w:r>
    </w:p>
    <w:p>
      <w:pPr>
        <w:pStyle w:val="Normal"/>
        <w:ind w:left="0" w:right="0" w:hanging="0"/>
        <w:jc w:val="both"/>
        <w:rPr>
          <w:rFonts w:cs="Tahoma"/>
          <w:sz w:val="21"/>
          <w:szCs w:val="21"/>
        </w:rPr>
      </w:pPr>
      <w:r>
        <w:rPr>
          <w:rFonts w:cs="Tahoma"/>
          <w:sz w:val="21"/>
          <w:szCs w:val="21"/>
        </w:rPr>
        <w:tab/>
        <w:t>Il responsabile del procedimento in materia edilizia èil geom. Giovanni Maglio - tel. 019/7499547.</w:t>
      </w:r>
    </w:p>
    <w:p>
      <w:pPr>
        <w:pStyle w:val="Normal"/>
        <w:ind w:left="0" w:right="0" w:hanging="0"/>
        <w:jc w:val="both"/>
        <w:rPr>
          <w:rFonts w:cs="Tahoma"/>
          <w:sz w:val="21"/>
          <w:szCs w:val="21"/>
        </w:rPr>
      </w:pPr>
      <w:r>
        <w:rPr>
          <w:rFonts w:cs="Tahoma"/>
          <w:sz w:val="21"/>
          <w:szCs w:val="21"/>
        </w:rPr>
        <w:tab/>
        <w:t>Il responsabile del procedimento in materia di paesaggio è l'Arch. Raffaello Riba – tel. 019/74</w:t>
      </w:r>
      <w:r>
        <w:rPr>
          <w:rFonts w:cs="Tahoma"/>
          <w:b w:val="false"/>
          <w:bCs w:val="false"/>
          <w:sz w:val="21"/>
          <w:szCs w:val="21"/>
        </w:rPr>
        <w:t>99536.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 w:val="false"/>
          <w:b w:val="false"/>
          <w:bCs w:val="false"/>
          <w:sz w:val="21"/>
          <w:szCs w:val="21"/>
        </w:rPr>
      </w:pPr>
      <w:r>
        <w:rPr>
          <w:rFonts w:cs="Tahoma"/>
          <w:b w:val="false"/>
          <w:bCs w:val="false"/>
          <w:sz w:val="21"/>
          <w:szCs w:val="21"/>
        </w:rPr>
        <w:t>L’Ufficio presso il quale si può prendere richiedere informazioni è l’Ufficio Urbanistica sito in Piazza Milite Ignoto, con apertura al pubblico, nei giorni di lunedì (solo su appuntamento) e giovedì (ricevimento libero), dalle ore 9.30 alle ore 13.00, previo appuntamento ai numeri di telefono n. 019/7499534-36-47.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  <w:t>Cordiali saluti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  <w:tab/>
        <w:tab/>
        <w:tab/>
        <w:tab/>
        <w:t xml:space="preserve">   </w:t>
        <w:tab/>
        <w:t xml:space="preserve">                     Il Responsabile del Procedimento in materia edilizia</w:t>
        <w:tab/>
        <w:t xml:space="preserve">         </w:t>
        <w:tab/>
        <w:tab/>
        <w:tab/>
        <w:tab/>
        <w:tab/>
        <w:tab/>
        <w:tab/>
        <w:tab/>
      </w:r>
      <w:r>
        <w:rPr>
          <w:rFonts w:cs="Tahoma"/>
          <w:i/>
          <w:iCs/>
          <w:sz w:val="22"/>
          <w:szCs w:val="22"/>
        </w:rPr>
        <w:t>(geom. Giovanni Maglio)</w:t>
      </w:r>
    </w:p>
    <w:sectPr>
      <w:footerReference w:type="default" r:id="rId5"/>
      <w:type w:val="nextPage"/>
      <w:pgSz w:w="11906" w:h="16838"/>
      <w:pgMar w:left="1134" w:right="1020" w:header="0" w:top="1134" w:footer="1134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OpenSymbol">
    <w:altName w:val="Arial Unicode MS"/>
    <w:charset w:val="00"/>
    <w:family w:val="auto"/>
    <w:pitch w:val="default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ind w:left="45" w:right="0" w:hanging="0"/>
      <w:jc w:val="both"/>
      <w:rPr/>
    </w:pPr>
    <w:r>
      <w:rPr>
        <w:rFonts w:eastAsia="Times New Roman" w:cs="Tahoma"/>
        <w:b w:val="false"/>
        <w:bCs w:val="false"/>
        <w:color w:val="auto"/>
        <w:sz w:val="16"/>
        <w:szCs w:val="16"/>
        <w:lang w:val="it-IT" w:eastAsia="zh-CN" w:bidi="ar-SA"/>
      </w:rPr>
      <w:t xml:space="preserve">In osservanza di quanto disposto dall'articolo 13 del </w:t>
    </w:r>
    <w:hyperlink r:id="rId1">
      <w:r>
        <w:rPr>
          <w:rStyle w:val="CollegamentoInternet"/>
          <w:rFonts w:eastAsia="Times New Roman" w:cs="Tahoma"/>
          <w:b w:val="false"/>
          <w:bCs w:val="false"/>
          <w:color w:val="000000"/>
          <w:sz w:val="16"/>
          <w:szCs w:val="16"/>
        </w:rPr>
        <w:t>Decreto Legislativo 30 giugno 2003</w:t>
      </w:r>
    </w:hyperlink>
    <w:r>
      <w:rPr>
        <w:rFonts w:eastAsia="Times New Roman" w:cs="Tahoma"/>
        <w:b w:val="false"/>
        <w:bCs w:val="false"/>
        <w:color w:val="auto"/>
        <w:sz w:val="16"/>
        <w:szCs w:val="16"/>
        <w:lang w:val="it-IT" w:eastAsia="zh-CN" w:bidi="ar-SA"/>
      </w:rPr>
      <w:t xml:space="preserve">, n. 196 "Codice in materia di protezione dei dati personali" si informa la S.V. che i dati personali acquisiti dal Comune di Noli sono raccolti e trattati  anche con  l'ausilio di mezzi elettronici esclusivamente per le finalità connesse alla procedura e gestione connessa ovvero per dare esecuzione ad obblighi previsti dalla legge.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ito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ito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ito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itolo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Titolo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Titolo7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Mangal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it-IT" w:eastAsia="zh-CN" w:bidi="ar-SA"/>
    </w:rPr>
  </w:style>
  <w:style w:type="paragraph" w:styleId="Titolo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szCs w:val="20"/>
    </w:rPr>
  </w:style>
  <w:style w:type="paragraph" w:styleId="Titolo2">
    <w:name w:val="Heading 2"/>
    <w:basedOn w:val="Normal"/>
    <w:next w:val="Normal"/>
    <w:qFormat/>
    <w:pPr>
      <w:keepNext/>
      <w:numPr>
        <w:ilvl w:val="1"/>
        <w:numId w:val="1"/>
      </w:numPr>
      <w:outlineLvl w:val="1"/>
      <w:outlineLvl w:val="1"/>
    </w:pPr>
    <w:rPr>
      <w:b/>
      <w:szCs w:val="20"/>
    </w:rPr>
  </w:style>
  <w:style w:type="paragraph" w:styleId="Titolo3">
    <w:name w:val="Heading 3"/>
    <w:basedOn w:val="Normal"/>
    <w:next w:val="Normal"/>
    <w:qFormat/>
    <w:pPr>
      <w:keepNext/>
      <w:numPr>
        <w:ilvl w:val="2"/>
        <w:numId w:val="1"/>
      </w:numPr>
      <w:ind w:left="0" w:right="0" w:firstLine="1134"/>
      <w:outlineLvl w:val="2"/>
      <w:outlineLvl w:val="2"/>
    </w:pPr>
    <w:rPr>
      <w:b/>
      <w:sz w:val="24"/>
    </w:rPr>
  </w:style>
  <w:style w:type="paragraph" w:styleId="Titolo4">
    <w:name w:val="Heading 4"/>
    <w:basedOn w:val="Normal"/>
    <w:next w:val="Normal"/>
    <w:qFormat/>
    <w:pPr>
      <w:keepNext/>
      <w:numPr>
        <w:ilvl w:val="3"/>
        <w:numId w:val="1"/>
      </w:numPr>
      <w:ind w:left="5387" w:right="0" w:hanging="0"/>
      <w:outlineLvl w:val="3"/>
      <w:outlineLvl w:val="3"/>
    </w:pPr>
    <w:rPr>
      <w:rFonts w:ascii="Arial" w:hAnsi="Arial" w:cs="Arial"/>
      <w:bCs/>
      <w:szCs w:val="20"/>
    </w:rPr>
  </w:style>
  <w:style w:type="paragraph" w:styleId="Titolo5">
    <w:name w:val="Heading 5"/>
    <w:basedOn w:val="Titolo"/>
    <w:next w:val="Corpodeltesto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Titolo6">
    <w:name w:val="Heading 6"/>
    <w:basedOn w:val="Titolo"/>
    <w:next w:val="Corpodeltesto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Titolo7">
    <w:name w:val="Heading 7"/>
    <w:basedOn w:val="Titolo"/>
    <w:next w:val="Corpodeltesto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8Num1z0">
    <w:name w:val="WW8Num1z0"/>
    <w:qFormat/>
    <w:rPr>
      <w:rFonts w:ascii="Arial" w:hAnsi="Arial" w:eastAsia="Times New Roman" w:cs="Aria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/>
    </w:rPr>
  </w:style>
  <w:style w:type="character" w:styleId="WW8Num1z3">
    <w:name w:val="WW8Num1z3"/>
    <w:qFormat/>
    <w:rPr>
      <w:rFonts w:ascii="Symbol" w:hAnsi="Symbol"/>
    </w:rPr>
  </w:style>
  <w:style w:type="character" w:styleId="WW8Num2z0">
    <w:name w:val="WW8Num2z0"/>
    <w:qFormat/>
    <w:rPr>
      <w:rFonts w:ascii="Calibri" w:hAnsi="Calibri" w:eastAsia="Calibri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/>
    </w:rPr>
  </w:style>
  <w:style w:type="character" w:styleId="WW8Num2z3">
    <w:name w:val="WW8Num2z3"/>
    <w:qFormat/>
    <w:rPr>
      <w:rFonts w:ascii="Symbol" w:hAnsi="Symbol"/>
    </w:rPr>
  </w:style>
  <w:style w:type="character" w:styleId="WW8Num3z0">
    <w:name w:val="WW8Num3z0"/>
    <w:qFormat/>
    <w:rPr>
      <w:rFonts w:ascii="Wingdings" w:hAnsi="Wingdings"/>
      <w:sz w:val="16"/>
    </w:rPr>
  </w:style>
  <w:style w:type="character" w:styleId="Carpredefinitoparagrafo">
    <w:name w:val="Car. predefinito paragrafo"/>
    <w:qFormat/>
    <w:rPr/>
  </w:style>
  <w:style w:type="character" w:styleId="TestofumettoCarattere">
    <w:name w:val="Testo fumetto Carattere"/>
    <w:basedOn w:val="Carpredefinitoparagrafo"/>
    <w:qFormat/>
    <w:rPr>
      <w:rFonts w:ascii="Tahoma" w:hAnsi="Tahoma" w:cs="Tahoma"/>
      <w:sz w:val="16"/>
      <w:szCs w:val="16"/>
    </w:rPr>
  </w:style>
  <w:style w:type="character" w:styleId="CorpodeltestoCarattere">
    <w:name w:val="Corpo del testo Carattere"/>
    <w:basedOn w:val="Carpredefinitoparagrafo"/>
    <w:qFormat/>
    <w:rPr>
      <w:sz w:val="24"/>
      <w:szCs w:val="24"/>
    </w:rPr>
  </w:style>
  <w:style w:type="character" w:styleId="Caratteredinumerazione">
    <w:name w:val="Carattere di numerazione"/>
    <w:qFormat/>
    <w:rPr/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sz w:val="22"/>
    </w:rPr>
  </w:style>
  <w:style w:type="character" w:styleId="WW8Num4z1">
    <w:name w:val="WW8Num4z1"/>
    <w:qFormat/>
    <w:rPr>
      <w:rFonts w:ascii="Courier New" w:hAnsi="Courier New"/>
    </w:rPr>
  </w:style>
  <w:style w:type="character" w:styleId="WW8Num4z2">
    <w:name w:val="WW8Num4z2"/>
    <w:qFormat/>
    <w:rPr>
      <w:rFonts w:ascii="Wingdings" w:hAnsi="Wingdings"/>
    </w:rPr>
  </w:style>
  <w:style w:type="character" w:styleId="WW8Num4z3">
    <w:name w:val="WW8Num4z3"/>
    <w:qFormat/>
    <w:rPr>
      <w:rFonts w:ascii="Symbol" w:hAnsi="Symbol"/>
    </w:rPr>
  </w:style>
  <w:style w:type="character" w:styleId="WW8Num14z0">
    <w:name w:val="WW8Num14z0"/>
    <w:qFormat/>
    <w:rPr>
      <w:sz w:val="22"/>
    </w:rPr>
  </w:style>
  <w:style w:type="character" w:styleId="WW8Num14z1">
    <w:name w:val="WW8Num14z1"/>
    <w:qFormat/>
    <w:rPr>
      <w:rFonts w:ascii="Courier New" w:hAnsi="Courier New"/>
    </w:rPr>
  </w:style>
  <w:style w:type="character" w:styleId="WW8Num14z2">
    <w:name w:val="WW8Num14z2"/>
    <w:qFormat/>
    <w:rPr>
      <w:rFonts w:ascii="Wingdings" w:hAnsi="Wingdings"/>
    </w:rPr>
  </w:style>
  <w:style w:type="character" w:styleId="WW8Num14z3">
    <w:name w:val="WW8Num14z3"/>
    <w:qFormat/>
    <w:rPr>
      <w:rFonts w:ascii="Symbol" w:hAnsi="Symbol"/>
    </w:rPr>
  </w:style>
  <w:style w:type="character" w:styleId="WW8Num10z0">
    <w:name w:val="WW8Num10z0"/>
    <w:qFormat/>
    <w:rPr>
      <w:sz w:val="22"/>
    </w:rPr>
  </w:style>
  <w:style w:type="character" w:styleId="WW8Num10z2">
    <w:name w:val="WW8Num10z2"/>
    <w:qFormat/>
    <w:rPr>
      <w:rFonts w:ascii="Wingdings" w:hAnsi="Wingdings"/>
    </w:rPr>
  </w:style>
  <w:style w:type="character" w:styleId="WW8Num10z3">
    <w:name w:val="WW8Num10z3"/>
    <w:qFormat/>
    <w:rPr>
      <w:rFonts w:ascii="Symbol" w:hAnsi="Symbol"/>
    </w:rPr>
  </w:style>
  <w:style w:type="character" w:styleId="WW8Num10z4">
    <w:name w:val="WW8Num10z4"/>
    <w:qFormat/>
    <w:rPr>
      <w:rFonts w:ascii="Courier New" w:hAnsi="Courier New"/>
    </w:rPr>
  </w:style>
  <w:style w:type="character" w:styleId="WW8Num12z0">
    <w:name w:val="WW8Num12z0"/>
    <w:qFormat/>
    <w:rPr>
      <w:sz w:val="22"/>
    </w:rPr>
  </w:style>
  <w:style w:type="character" w:styleId="WW8Num12z1">
    <w:name w:val="WW8Num12z1"/>
    <w:qFormat/>
    <w:rPr>
      <w:rFonts w:ascii="Courier New" w:hAnsi="Courier New"/>
    </w:rPr>
  </w:style>
  <w:style w:type="character" w:styleId="WW8Num12z2">
    <w:name w:val="WW8Num12z2"/>
    <w:qFormat/>
    <w:rPr>
      <w:rFonts w:ascii="Wingdings" w:hAnsi="Wingdings"/>
    </w:rPr>
  </w:style>
  <w:style w:type="character" w:styleId="WW8Num12z3">
    <w:name w:val="WW8Num12z3"/>
    <w:qFormat/>
    <w:rPr>
      <w:rFonts w:ascii="Symbol" w:hAnsi="Symbol"/>
    </w:rPr>
  </w:style>
  <w:style w:type="character" w:styleId="WW8Num22z0">
    <w:name w:val="WW8Num22z0"/>
    <w:qFormat/>
    <w:rPr>
      <w:sz w:val="22"/>
    </w:rPr>
  </w:style>
  <w:style w:type="character" w:styleId="WW8Num22z1">
    <w:name w:val="WW8Num22z1"/>
    <w:qFormat/>
    <w:rPr>
      <w:rFonts w:ascii="Courier New" w:hAnsi="Courier New"/>
    </w:rPr>
  </w:style>
  <w:style w:type="character" w:styleId="WW8Num22z2">
    <w:name w:val="WW8Num22z2"/>
    <w:qFormat/>
    <w:rPr>
      <w:rFonts w:ascii="Wingdings" w:hAnsi="Wingdings"/>
    </w:rPr>
  </w:style>
  <w:style w:type="character" w:styleId="WW8Num22z3">
    <w:name w:val="WW8Num22z3"/>
    <w:qFormat/>
    <w:rPr>
      <w:rFonts w:ascii="Symbol" w:hAnsi="Symbol"/>
    </w:rPr>
  </w:style>
  <w:style w:type="character" w:styleId="WW8Num28z0">
    <w:name w:val="WW8Num28z0"/>
    <w:qFormat/>
    <w:rPr>
      <w:sz w:val="22"/>
    </w:rPr>
  </w:style>
  <w:style w:type="character" w:styleId="WW8Num28z1">
    <w:name w:val="WW8Num28z1"/>
    <w:qFormat/>
    <w:rPr>
      <w:rFonts w:ascii="Courier New" w:hAnsi="Courier New"/>
    </w:rPr>
  </w:style>
  <w:style w:type="character" w:styleId="WW8Num28z2">
    <w:name w:val="WW8Num28z2"/>
    <w:qFormat/>
    <w:rPr>
      <w:rFonts w:ascii="Wingdings" w:hAnsi="Wingdings"/>
    </w:rPr>
  </w:style>
  <w:style w:type="character" w:styleId="WW8Num28z3">
    <w:name w:val="WW8Num28z3"/>
    <w:qFormat/>
    <w:rPr>
      <w:rFonts w:ascii="Symbol" w:hAnsi="Symbol"/>
    </w:rPr>
  </w:style>
  <w:style w:type="character" w:styleId="WW8Num24z0">
    <w:name w:val="WW8Num24z0"/>
    <w:qFormat/>
    <w:rPr>
      <w:sz w:val="22"/>
    </w:rPr>
  </w:style>
  <w:style w:type="character" w:styleId="WW8Num24z1">
    <w:name w:val="WW8Num24z1"/>
    <w:qFormat/>
    <w:rPr>
      <w:rFonts w:ascii="Courier New" w:hAnsi="Courier New"/>
    </w:rPr>
  </w:style>
  <w:style w:type="character" w:styleId="WW8Num24z2">
    <w:name w:val="WW8Num24z2"/>
    <w:qFormat/>
    <w:rPr>
      <w:rFonts w:ascii="Wingdings" w:hAnsi="Wingdings"/>
    </w:rPr>
  </w:style>
  <w:style w:type="character" w:styleId="WW8Num24z3">
    <w:name w:val="WW8Num24z3"/>
    <w:qFormat/>
    <w:rPr>
      <w:rFonts w:ascii="Symbol" w:hAnsi="Symbol"/>
    </w:rPr>
  </w:style>
  <w:style w:type="character" w:styleId="WW8Num8z0">
    <w:name w:val="WW8Num8z0"/>
    <w:qFormat/>
    <w:rPr>
      <w:sz w:val="22"/>
    </w:rPr>
  </w:style>
  <w:style w:type="character" w:styleId="WW8Num20z0">
    <w:name w:val="WW8Num20z0"/>
    <w:qFormat/>
    <w:rPr>
      <w:rFonts w:ascii="Times New Roman" w:hAnsi="Times New Roman"/>
    </w:rPr>
  </w:style>
  <w:style w:type="character" w:styleId="WW8Num20z1">
    <w:name w:val="WW8Num20z1"/>
    <w:qFormat/>
    <w:rPr>
      <w:rFonts w:ascii="Courier New" w:hAnsi="Courier New"/>
    </w:rPr>
  </w:style>
  <w:style w:type="character" w:styleId="WW8Num20z2">
    <w:name w:val="WW8Num20z2"/>
    <w:qFormat/>
    <w:rPr>
      <w:rFonts w:ascii="Wingdings" w:hAnsi="Wingdings"/>
    </w:rPr>
  </w:style>
  <w:style w:type="character" w:styleId="WW8Num20z3">
    <w:name w:val="WW8Num20z3"/>
    <w:qFormat/>
    <w:rPr>
      <w:rFonts w:ascii="Symbol" w:hAnsi="Symbol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left="0" w:right="0" w:firstLine="900"/>
      <w:jc w:val="both"/>
    </w:pPr>
    <w:rPr/>
  </w:style>
  <w:style w:type="paragraph" w:styleId="Testofumetto">
    <w:name w:val="Testo fumetto"/>
    <w:basedOn w:val="Normal"/>
    <w:qFormat/>
    <w:pPr/>
    <w:rPr>
      <w:rFonts w:ascii="Tahoma" w:hAnsi="Tahoma" w:cs="Tahoma"/>
      <w:sz w:val="16"/>
      <w:szCs w:val="16"/>
    </w:rPr>
  </w:style>
  <w:style w:type="paragraph" w:styleId="Rientrocorpodeltesto3">
    <w:name w:val="Rientro corpo del testo 3"/>
    <w:basedOn w:val="Normal"/>
    <w:qFormat/>
    <w:pPr>
      <w:ind w:left="0" w:right="0" w:firstLine="360"/>
      <w:jc w:val="both"/>
    </w:pPr>
    <w:rPr>
      <w:rFonts w:ascii="Tahoma" w:hAnsi="Tahoma" w:cs="Tahoma"/>
    </w:rPr>
  </w:style>
  <w:style w:type="paragraph" w:styleId="NormaleWeb">
    <w:name w:val="Normale (Web)"/>
    <w:basedOn w:val="Normal"/>
    <w:qFormat/>
    <w:pPr>
      <w:widowControl w:val="false"/>
      <w:suppressAutoHyphens w:val="true"/>
      <w:spacing w:before="100" w:after="119"/>
    </w:pPr>
    <w:rPr>
      <w:sz w:val="24"/>
      <w:szCs w:val="24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Pidipagina">
    <w:name w:val="Footer"/>
    <w:basedOn w:val="Normal"/>
    <w:pPr>
      <w:suppressLineNumbers/>
      <w:tabs>
        <w:tab w:val="center" w:pos="4791" w:leader="none"/>
        <w:tab w:val="right" w:pos="9582" w:leader="none"/>
      </w:tabs>
    </w:pPr>
    <w:rPr/>
  </w:style>
  <w:style w:type="numbering" w:styleId="WW8Num1">
    <w:name w:val="WW8Num1"/>
    <w:qFormat/>
  </w:style>
  <w:style w:type="numbering" w:styleId="WW8Num4">
    <w:name w:val="WW8Num4"/>
    <w:qFormat/>
  </w:style>
  <w:style w:type="numbering" w:styleId="WW8Num14">
    <w:name w:val="WW8Num14"/>
    <w:qFormat/>
  </w:style>
  <w:style w:type="numbering" w:styleId="WW8Num10">
    <w:name w:val="WW8Num10"/>
    <w:qFormat/>
  </w:style>
  <w:style w:type="numbering" w:styleId="WW8Num12">
    <w:name w:val="WW8Num12"/>
    <w:qFormat/>
  </w:style>
  <w:style w:type="numbering" w:styleId="WW8Num22">
    <w:name w:val="WW8Num22"/>
    <w:qFormat/>
  </w:style>
  <w:style w:type="numbering" w:styleId="WW8Num28">
    <w:name w:val="WW8Num28"/>
    <w:qFormat/>
  </w:style>
  <w:style w:type="numbering" w:styleId="WW8Num24">
    <w:name w:val="WW8Num24"/>
    <w:qFormat/>
  </w:style>
  <w:style w:type="numbering" w:styleId="WW8Num8">
    <w:name w:val="WW8Num8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raffaello.riba@comune.noli.sv.it" TargetMode="External"/><Relationship Id="rId4" Type="http://schemas.openxmlformats.org/officeDocument/2006/relationships/hyperlink" Target="mailto:urbanistica@comune.noli.sv.it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parlamento.it/parlam/leggi/deleghe/03196dl.htm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2965</TotalTime>
  <Application>LibreOffice/5.2.2.2$Windows_x86 LibreOffice_project/8f96e87c890bf8fa77463cd4b640a2312823f3ad</Application>
  <Pages>2</Pages>
  <Words>555</Words>
  <Characters>3521</Characters>
  <CharactersWithSpaces>4131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2009-11-19T11:42:00Z</dcterms:created>
  <dc:creator>Ufficio Urbanistica</dc:creator>
  <dc:description/>
  <dc:language>it-IT</dc:language>
  <cp:lastModifiedBy/>
  <cp:lastPrinted>2015-10-05T12:44:53Z</cp:lastPrinted>
  <dcterms:modified xsi:type="dcterms:W3CDTF">2017-02-08T10:56:42Z</dcterms:modified>
  <cp:revision>189</cp:revision>
  <dc:subject/>
  <dc:title>                                             </dc:title>
</cp:coreProperties>
</file>