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42" t="-32" r="-42" b="-32"/>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2"/>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Fonts w:cs="Bookman Old Style" w:ascii="Bookman Old Style" w:hAnsi="Bookman Old Style"/>
          <w:b/>
          <w:sz w:val="22"/>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3"/>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Fonts w:cs="Bookman Old Style" w:ascii="Bookman Old Style" w:hAnsi="Bookman Old Style"/>
          <w:b/>
          <w:sz w:val="24"/>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6"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w:t>
      </w:r>
      <w:r>
        <w:rPr>
          <w:rFonts w:cs="Tahoma" w:ascii="Tahoma" w:hAnsi="Tahoma"/>
          <w:b w:val="false"/>
          <w:sz w:val="20"/>
          <w:lang w:val="it-IT"/>
        </w:rPr>
        <w:t>Richiesta di Autorizzazione Paesaggistica Semplificata</w:t>
      </w:r>
      <w:r>
        <w:rPr>
          <w:rFonts w:cs="Tahoma" w:ascii="Tahoma" w:hAnsi="Tahoma"/>
          <w:b w:val="false"/>
          <w:sz w:val="20"/>
          <w:lang w:val="it-IT"/>
        </w:rPr>
        <w:t xml:space="preserve"> 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pPr>
      <w:r>
        <w:rPr>
          <w:rFonts w:cs="Tahoma" w:ascii="Tahoma" w:hAnsi="Tahoma"/>
          <w:b w:val="false"/>
          <w:sz w:val="20"/>
          <w:lang w:val="it-IT"/>
        </w:rPr>
        <w:t>Con riferimento alla richiesta di autorizzazione paesaggistica semplificata presentata</w:t>
      </w:r>
      <w:r>
        <w:rPr>
          <w:rFonts w:cs="Tahoma" w:ascii="Tahoma" w:hAnsi="Tahoma"/>
          <w:b w:val="false"/>
          <w:sz w:val="20"/>
          <w:lang w:val="it-IT"/>
        </w:rPr>
        <w:t xml:space="preserve"> in data [data_protocollo], con prot. n. [protocollo] </w:t>
      </w:r>
      <w:r>
        <w:rPr>
          <w:rFonts w:cs="Tahoma" w:ascii="Tahoma" w:hAnsi="Tahoma"/>
          <w:b w:val="false"/>
          <w:sz w:val="20"/>
          <w:lang w:val="it-IT"/>
        </w:rPr>
        <w:t xml:space="preserve">e relativa alle opere di cui all'oggetto, </w:t>
      </w:r>
      <w:r>
        <w:rPr>
          <w:rFonts w:cs="Tahoma" w:ascii="Tahoma" w:hAnsi="Tahoma"/>
          <w:b w:val="false"/>
          <w:sz w:val="20"/>
          <w:lang w:val="it-IT"/>
        </w:rPr>
        <w:t>si riferisce che, per poter essere esaminata, occorre integrare la pratica con la seguente documentazione:</w:t>
      </w:r>
    </w:p>
    <w:p>
      <w:pPr>
        <w:pStyle w:val="Normal"/>
        <w:jc w:val="both"/>
        <w:rPr>
          <w:rFonts w:ascii="Tahoma" w:hAnsi="Tahoma" w:cs="Tahoma"/>
        </w:rPr>
      </w:pPr>
      <w:r>
        <w:rPr>
          <w:rFonts w:cs="Tahoma" w:ascii="Tahoma" w:hAnsi="Tahoma"/>
        </w:rPr>
      </w:r>
    </w:p>
    <w:p>
      <w:pPr>
        <w:pStyle w:val="Corpodeltesto"/>
        <w:jc w:val="both"/>
        <w:rPr>
          <w:rFonts w:ascii="Tahoma" w:hAnsi="Tahoma"/>
          <w:b w:val="false"/>
          <w:b w:val="false"/>
          <w:bCs w:val="false"/>
          <w:i/>
          <w:i/>
          <w:iCs/>
          <w:sz w:val="20"/>
          <w:szCs w:val="20"/>
        </w:rPr>
      </w:pPr>
      <w:r>
        <w:rPr>
          <w:rFonts w:cs="Tahoma" w:ascii="Tahoma" w:hAnsi="Tahoma"/>
          <w:b w:val="false"/>
          <w:bCs w:val="false"/>
          <w:i/>
          <w:iCs/>
          <w:sz w:val="20"/>
          <w:szCs w:val="20"/>
          <w:lang w:val="it-IT"/>
        </w:rPr>
        <w:t xml:space="preserve">RELAZIONE  mediante  dichiarazione e specifiche    sull'applicazione  della   normativa  paesaggistica   semplificata  (  DPR  31/2017 )  per   l'intervento  in  oggetto  in  ragione  della  tipologia  di  pergo -tenda  proposta  con  chiusure  laterali  in plastica.  </w:t>
      </w:r>
      <w:r>
        <w:rPr>
          <w:rFonts w:cs="Tahoma" w:ascii="Tahoma" w:hAnsi="Tahoma"/>
          <w:b/>
          <w:bCs/>
          <w:i/>
          <w:iCs/>
          <w:sz w:val="20"/>
          <w:szCs w:val="20"/>
          <w:lang w:val="it-IT"/>
        </w:rPr>
        <w:t>A tal  fine  l'Ufficio  si  riserva, anche  attraverso l'ausilio della  Commissione  edilizia  del paesaggio una  attenta  valutazione  sull'ammissibilità  di  una  tale  struttura  nell'ambito  delle  attuali  definizioni  di volume  imposte dalle  vigenti  Leggi</w:t>
      </w:r>
    </w:p>
    <w:p>
      <w:pPr>
        <w:pStyle w:val="Corpodeltesto"/>
        <w:ind w:left="0" w:right="0" w:firstLine="708"/>
        <w:jc w:val="both"/>
        <w:rPr>
          <w:rFonts w:ascii="Tahoma" w:hAnsi="Tahoma"/>
          <w:b w:val="false"/>
          <w:b w:val="false"/>
          <w:bCs w:val="false"/>
          <w:i/>
          <w:i/>
          <w:iCs/>
          <w:sz w:val="20"/>
          <w:szCs w:val="20"/>
        </w:rPr>
      </w:pPr>
      <w:r>
        <w:rPr>
          <w:rFonts w:ascii="Tahoma" w:hAnsi="Tahoma"/>
          <w:b w:val="false"/>
          <w:bCs w:val="false"/>
          <w:i/>
          <w:iCs/>
          <w:sz w:val="20"/>
          <w:szCs w:val="20"/>
        </w:rPr>
      </w:r>
    </w:p>
    <w:p>
      <w:pPr>
        <w:pStyle w:val="Corpodeltesto"/>
        <w:jc w:val="both"/>
        <w:rPr>
          <w:b w:val="false"/>
          <w:b w:val="false"/>
          <w:bCs w:val="false"/>
          <w:i/>
          <w:i/>
          <w:iCs/>
          <w:sz w:val="20"/>
          <w:szCs w:val="20"/>
        </w:rPr>
      </w:pPr>
      <w:r>
        <w:rPr>
          <w:rFonts w:cs="Tahoma" w:ascii="Tahoma" w:hAnsi="Tahoma"/>
          <w:b w:val="false"/>
          <w:bCs w:val="false"/>
          <w:i/>
          <w:iCs/>
          <w:sz w:val="20"/>
          <w:szCs w:val="20"/>
          <w:lang w:val="it-IT"/>
        </w:rPr>
        <w:t>RELAZIONE   dettagliata mediante  DICHIARAZIONE  ASSEVERATA  resa ( in qualità  di persona esercente un servizio di pubblica necessità ai sensi degli art  359 e 481 del Codice Penale consapevole dell'applicabilità  delle  sanzioni penali  previste   dagli art   75 e 76  del D.P.R.  N  445/2000  e di quelle   di cui all'articolo n 19,  comma  6  della Legge   241/1990) , sulla conformità  dell'intervento alle  vigenti normative assunte a progettazione della pratica : corrispondenza intervento alle normativa Piano di  Bacino, normativa  Piano Regolatore Generale  (</w:t>
      </w:r>
      <w:r>
        <w:rPr>
          <w:rFonts w:cs="Tahoma" w:ascii="Tahoma" w:hAnsi="Tahoma"/>
          <w:b w:val="false"/>
          <w:bCs w:val="false"/>
          <w:i/>
          <w:iCs/>
          <w:sz w:val="20"/>
          <w:szCs w:val="20"/>
          <w:highlight w:val="yellow"/>
          <w:lang w:val="it-IT"/>
        </w:rPr>
        <w:t xml:space="preserve"> )</w:t>
      </w:r>
      <w:r>
        <w:rPr>
          <w:rFonts w:cs="Tahoma" w:ascii="Tahoma" w:hAnsi="Tahoma"/>
          <w:b w:val="false"/>
          <w:bCs w:val="false"/>
          <w:i/>
          <w:iCs/>
          <w:sz w:val="20"/>
          <w:szCs w:val="20"/>
          <w:lang w:val="it-IT"/>
        </w:rPr>
        <w:t xml:space="preserve"> , Piano territoriale di coordinamento  paesaggistico PTCP ( </w:t>
      </w:r>
      <w:r>
        <w:rPr>
          <w:rFonts w:cs="Tahoma" w:ascii="Tahoma" w:hAnsi="Tahoma"/>
          <w:b w:val="false"/>
          <w:bCs w:val="false"/>
          <w:i/>
          <w:iCs/>
          <w:sz w:val="20"/>
          <w:szCs w:val="20"/>
          <w:highlight w:val="yellow"/>
          <w:lang w:val="it-IT"/>
        </w:rPr>
        <w:t>___</w:t>
      </w:r>
      <w:r>
        <w:rPr>
          <w:rFonts w:cs="Tahoma" w:ascii="Tahoma" w:hAnsi="Tahoma"/>
          <w:b w:val="false"/>
          <w:bCs w:val="false"/>
          <w:i/>
          <w:iCs/>
          <w:sz w:val="20"/>
          <w:szCs w:val="20"/>
          <w:lang w:val="it-IT"/>
        </w:rPr>
        <w:t xml:space="preserve"> ) , </w:t>
      </w:r>
      <w:r>
        <w:rPr>
          <w:rFonts w:cs="Tahoma" w:ascii="Tahoma" w:hAnsi="Tahoma"/>
          <w:b w:val="false"/>
          <w:bCs w:val="false"/>
          <w:i/>
          <w:iCs/>
          <w:sz w:val="20"/>
          <w:szCs w:val="20"/>
          <w:highlight w:val="yellow"/>
          <w:lang w:val="it-IT"/>
        </w:rPr>
        <w:t xml:space="preserve"> area  Parco del Monte  di Portofino,  area  SIC del Piano del Parco di  Portofino, vincolo idrogeologico , Nulla  Osta  Provincia , Nuolla  Osta  Vigili  Urbani se presenti e  necessari .  </w:t>
      </w:r>
    </w:p>
    <w:p>
      <w:pPr>
        <w:pStyle w:val="Corpodeltesto"/>
        <w:jc w:val="both"/>
        <w:rPr/>
      </w:pPr>
      <w:r>
        <w:rPr/>
      </w:r>
    </w:p>
    <w:p>
      <w:pPr>
        <w:pStyle w:val="Corpodeltesto"/>
        <w:jc w:val="both"/>
        <w:rPr>
          <w:rFonts w:ascii="Tahoma" w:hAnsi="Tahoma" w:cs="Tahoma"/>
          <w:b w:val="false"/>
          <w:b w:val="false"/>
          <w:bCs w:val="false"/>
          <w:i/>
          <w:i/>
          <w:iCs/>
          <w:sz w:val="20"/>
          <w:szCs w:val="20"/>
        </w:rPr>
      </w:pPr>
      <w:r>
        <w:rPr>
          <w:rFonts w:cs="Tahoma" w:ascii="Tahoma" w:hAnsi="Tahoma"/>
          <w:b w:val="false"/>
          <w:bCs w:val="false"/>
          <w:i/>
          <w:iCs/>
          <w:sz w:val="20"/>
          <w:szCs w:val="20"/>
        </w:rPr>
        <w:t xml:space="preserve">RELAZIONE  tecnica  descrittiva e  dettagliata  comprensiva  di particolari  costruttivi  in  scala  maggiore atta a   rappresentare  compiutamente quanto  richiesto   unitamente  a  specifiche  materiali  costruttivi </w:t>
      </w:r>
    </w:p>
    <w:p>
      <w:pPr>
        <w:pStyle w:val="Corpodeltesto"/>
        <w:jc w:val="both"/>
        <w:rPr>
          <w:rFonts w:ascii="Tahoma" w:hAnsi="Tahoma" w:cs="Tahoma"/>
          <w:b w:val="false"/>
          <w:b w:val="false"/>
          <w:bCs w:val="false"/>
          <w:i/>
          <w:i/>
          <w:iCs/>
          <w:sz w:val="20"/>
          <w:szCs w:val="20"/>
          <w:u w:val="single"/>
          <w:lang w:val="it-IT"/>
        </w:rPr>
      </w:pPr>
      <w:r>
        <w:rPr>
          <w:rFonts w:cs="Tahoma" w:ascii="Tahoma" w:hAnsi="Tahoma"/>
          <w:b w:val="false"/>
          <w:bCs w:val="false"/>
          <w:i/>
          <w:iCs/>
          <w:sz w:val="20"/>
          <w:szCs w:val="20"/>
          <w:u w:val="single"/>
          <w:lang w:val="it-IT"/>
        </w:rPr>
      </w:r>
    </w:p>
    <w:p>
      <w:pPr>
        <w:pStyle w:val="Corpodeltesto"/>
        <w:jc w:val="both"/>
        <w:rPr>
          <w:rFonts w:ascii="Tahoma" w:hAnsi="Tahoma" w:cs="Tahoma"/>
          <w:b w:val="false"/>
          <w:b w:val="false"/>
          <w:bCs w:val="false"/>
          <w:i/>
          <w:i/>
          <w:iCs/>
          <w:sz w:val="20"/>
          <w:szCs w:val="20"/>
          <w:u w:val="none"/>
          <w:lang w:val="it-IT"/>
        </w:rPr>
      </w:pPr>
      <w:r>
        <w:rPr>
          <w:rFonts w:cs="Tahoma" w:ascii="Tahoma" w:hAnsi="Tahoma"/>
          <w:b w:val="false"/>
          <w:bCs w:val="false"/>
          <w:i/>
          <w:iCs/>
          <w:sz w:val="20"/>
          <w:szCs w:val="20"/>
          <w:u w:val="none"/>
          <w:lang w:val="it-IT"/>
        </w:rPr>
        <w:t>PAGAMENTO  diritti  di segreteria  di  euro 50,00   da  versare alla tesoreria  comunale  presso il Banco Popolare di  Sondrio agenzia  di  Piazza  Mazzini ( IBAN  IT37L0569632180000010000X60)  causale “ diritti di segreteria  pratica  18-146</w:t>
      </w:r>
    </w:p>
    <w:p>
      <w:pPr>
        <w:pStyle w:val="Corpodeltesto"/>
        <w:jc w:val="both"/>
        <w:rPr>
          <w:rFonts w:ascii="Tahoma" w:hAnsi="Tahoma"/>
          <w:b w:val="false"/>
          <w:b w:val="false"/>
          <w:bCs w:val="false"/>
          <w:sz w:val="20"/>
          <w:szCs w:val="20"/>
        </w:rPr>
      </w:pPr>
      <w:r>
        <w:rPr>
          <w:rFonts w:ascii="Tahoma" w:hAnsi="Tahoma"/>
          <w:b w:val="false"/>
          <w:bCs w:val="false"/>
          <w:sz w:val="20"/>
          <w:szCs w:val="20"/>
        </w:rPr>
      </w:r>
    </w:p>
    <w:p>
      <w:pPr>
        <w:pStyle w:val="Corpodeltesto"/>
        <w:ind w:firstLine="540"/>
        <w:jc w:val="both"/>
        <w:rPr>
          <w:b w:val="false"/>
          <w:b w:val="false"/>
          <w:bCs w:val="false"/>
          <w:sz w:val="20"/>
          <w:szCs w:val="20"/>
          <w:u w:val="none"/>
        </w:rPr>
      </w:pPr>
      <w:r>
        <w:rPr>
          <w:rFonts w:cs="Tahoma" w:ascii="Tahoma" w:hAnsi="Tahoma"/>
          <w:b w:val="false"/>
          <w:bCs w:val="false"/>
          <w:sz w:val="20"/>
          <w:szCs w:val="20"/>
          <w:u w:val="none"/>
          <w:lang w:val="it-IT"/>
        </w:rPr>
        <w:t xml:space="preserve">Si chiarisce  che  ai sensi del comma  5 dell'art 11 del DPR 31/2017  la presente  </w:t>
      </w:r>
      <w:r>
        <w:rPr>
          <w:rFonts w:cs="Tahoma" w:ascii="Tahoma" w:hAnsi="Tahoma"/>
          <w:b/>
          <w:bCs/>
          <w:sz w:val="20"/>
          <w:szCs w:val="20"/>
          <w:u w:val="none"/>
          <w:lang w:val="it-IT"/>
        </w:rPr>
        <w:t>costituisce  sospensione  del procedimento</w:t>
      </w:r>
      <w:r>
        <w:rPr>
          <w:rFonts w:cs="Tahoma" w:ascii="Tahoma" w:hAnsi="Tahoma"/>
          <w:b w:val="false"/>
          <w:bCs w:val="false"/>
          <w:sz w:val="20"/>
          <w:szCs w:val="20"/>
          <w:u w:val="none"/>
          <w:lang w:val="it-IT"/>
        </w:rPr>
        <w:t xml:space="preserve">   e  che  qualora  la  documentazione  richiesta  non  venga prodotta  nei  successivi  10 gg dal  ricevimento della  presente , l'istanza  verrà dichiarata  improcedibile. L'esame dell'istanza  da  parte  della struttura  comunale preposta,  </w:t>
      </w:r>
      <w:r>
        <w:rPr>
          <w:rFonts w:cs="Tahoma" w:ascii="Tahoma" w:hAnsi="Tahoma"/>
          <w:b/>
          <w:bCs/>
          <w:sz w:val="20"/>
          <w:szCs w:val="20"/>
          <w:u w:val="single"/>
          <w:lang w:val="it-IT"/>
        </w:rPr>
        <w:t>con l'ausilio  , se  ritenuto necessario  per le  motivazioni  sopraedotte della  locale  Commissione  locale  del paesaggio ,  e l'inoltro alla  locale  Soprintendenza   per  Beni Architettonici e  del Paesaggio</w:t>
      </w:r>
      <w:r>
        <w:rPr>
          <w:rFonts w:cs="Tahoma" w:ascii="Tahoma" w:hAnsi="Tahoma"/>
          <w:b w:val="false"/>
          <w:bCs w:val="false"/>
          <w:sz w:val="20"/>
          <w:szCs w:val="20"/>
          <w:u w:val="none"/>
          <w:lang w:val="it-IT"/>
        </w:rPr>
        <w:t xml:space="preserve"> , sarà subordinato alla presentazione di quanto sopra richiesto.</w:t>
      </w:r>
    </w:p>
    <w:p>
      <w:pPr>
        <w:pStyle w:val="Rientrocorpodeltesto"/>
        <w:rPr>
          <w:rFonts w:ascii="Tahoma" w:hAnsi="Tahoma" w:cs="Tahoma"/>
          <w:b w:val="false"/>
          <w:b w:val="false"/>
          <w:sz w:val="20"/>
          <w:lang w:val="it-IT"/>
        </w:rPr>
      </w:pPr>
      <w:r>
        <w:rPr>
          <w:rFonts w:cs="Tahoma" w:ascii="Tahoma" w:hAnsi="Tahoma"/>
          <w:b w:val="false"/>
          <w:sz w:val="20"/>
          <w:lang w:val="it-IT"/>
        </w:rPr>
      </w:r>
    </w:p>
    <w:p>
      <w:pPr>
        <w:pStyle w:val="Rigadintestazione"/>
        <w:tabs>
          <w:tab w:val="clear" w:pos="4819"/>
          <w:tab w:val="clear" w:pos="9638"/>
        </w:tabs>
        <w:rPr>
          <w:rFonts w:ascii="Tahoma" w:hAnsi="Tahoma" w:cs="Tahoma"/>
          <w:lang w:val="it-IT"/>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pPr>
      <w:r>
        <w:rPr>
          <w:rFonts w:eastAsia="Tahoma" w:cs="Tahoma" w:ascii="Tahoma" w:hAnsi="Tahoma"/>
        </w:rPr>
        <w:t xml:space="preserve">   </w:t>
      </w:r>
      <w:r>
        <w:rPr>
          <w:rFonts w:cs="Tahoma" w:ascii="Tahoma" w:hAnsi="Tahoma"/>
        </w:rPr>
        <w:t>Geom. Giovanni Garibotto</w:t>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altName w:val="Georgia"/>
    <w:charset w:val="01"/>
    <w:family w:val="roman"/>
    <w:pitch w:val="variable"/>
  </w:font>
  <w:font w:name="Courier">
    <w:altName w:val="Courier New"/>
    <w:charset w:val="01"/>
    <w:family w:val="roman"/>
    <w:pitch w:val="variable"/>
  </w:font>
  <w:font w:name="Verdana">
    <w:charset w:val="01"/>
    <w:family w:val="roman"/>
    <w:pitch w:val="variable"/>
  </w:font>
  <w:font w:name="Arial">
    <w:charset w:val="01"/>
    <w:family w:val="roman"/>
    <w:pitch w:val="variable"/>
  </w:font>
  <w:font w:name="Tunga">
    <w:charset w:val="01"/>
    <w:family w:val="roman"/>
    <w:pitch w:val="variable"/>
  </w:font>
  <w:font w:name="Bookman Old Style">
    <w:charset w:val="01"/>
    <w:family w:val="roman"/>
    <w:pitch w:val="variable"/>
  </w:font>
  <w:font w:name="Tahoma">
    <w:charset w:val="01"/>
    <w:family w:val="roman"/>
    <w:pitch w:val="variable"/>
  </w:font>
  <w:font w:name="Tahoma">
    <w:charset w:val="00"/>
    <w:family w:val="swiss"/>
    <w:pitch w:val="variable"/>
  </w:font>
  <w:font w:name="Tahom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pStyle w:val="Titolo8"/>
      <w:numFmt w:val="none"/>
      <w:suff w:val="nothing"/>
      <w:lvlText w:val=""/>
      <w:lvlJc w:val="left"/>
      <w:pPr>
        <w:ind w:left="1440" w:hanging="1440"/>
      </w:pPr>
    </w:lvl>
    <w:lvl w:ilvl="8">
      <w:start w:val="1"/>
      <w:pStyle w:val="Titolo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auto"/>
      <w:kern w:val="0"/>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Sottotitolo">
    <w:name w:val="Subtitle"/>
    <w:basedOn w:val="Normal"/>
    <w:qFormat/>
    <w:pPr>
      <w:ind w:left="0" w:right="0" w:firstLine="709"/>
      <w:jc w:val="center"/>
    </w:pPr>
    <w:rPr>
      <w:sz w:val="28"/>
      <w:lang w:eastAsia="it-IT"/>
    </w:rPr>
  </w:style>
  <w:style w:type="paragraph" w:styleId="Intestazione">
    <w:name w:val="Header"/>
    <w:basedOn w:val="Normal"/>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34</TotalTime>
  <Application>LibreOffice/6.0.7.3$Linux_X86_64 LibreOffice_project/00m0$Build-3</Application>
  <Pages>2</Pages>
  <Words>461</Words>
  <Characters>3055</Characters>
  <CharactersWithSpaces>3695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2019-02-14T17:56:57Z</dcterms:modified>
  <cp:revision>7</cp:revision>
  <dc:subject/>
  <dc:title>SETTORE IV -Servizi Tecnici e Gestione del Territorio</dc:title>
</cp:coreProperties>
</file>