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0D4341">
      <w:pPr>
        <w:pStyle w:val="PlainText"/>
        <w:jc w:val="both"/>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02953B58"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r w:rsidR="00F75C54" w:rsidRPr="00F45E60">
              <w:rPr>
                <w:rFonts w:asciiTheme="minorHAnsi" w:hAnsiTheme="minorHAnsi" w:cstheme="minorHAnsi"/>
                <w:color w:val="000000"/>
                <w:lang w:val="fr-FR"/>
              </w:rPr>
              <w:t>Thur</w:t>
            </w:r>
            <w:r w:rsidRPr="00F45E60">
              <w:rPr>
                <w:rFonts w:asciiTheme="minorHAnsi" w:hAnsiTheme="minorHAnsi" w:cstheme="minorHAnsi"/>
                <w:color w:val="000000"/>
                <w:lang w:val="fr-FR"/>
              </w:rPr>
              <w:t xml:space="preserve">. 2:50-4:05 pm </w:t>
            </w:r>
          </w:p>
          <w:p w14:paraId="225D3E83" w14:textId="3792EDCB" w:rsidR="0043609E" w:rsidRPr="00F45E60" w:rsidRDefault="009C7FA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Sackler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0C91F564" w:rsidR="0043609E" w:rsidRPr="00F45E60" w:rsidRDefault="0043609E" w:rsidP="00E3734C">
            <w:pPr>
              <w:pStyle w:val="PlainText"/>
              <w:rPr>
                <w:rFonts w:asciiTheme="minorHAnsi" w:hAnsiTheme="minorHAnsi" w:cstheme="minorHAnsi"/>
                <w:color w:val="000000"/>
                <w:lang w:val="fr-FR"/>
              </w:rPr>
            </w:pP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5BE774F5" w14:textId="408A80DB" w:rsidR="00AB5268" w:rsidRDefault="00AB5268"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p w14:paraId="2E8104D2" w14:textId="1734C391" w:rsidR="00AB5268" w:rsidRPr="0043609E" w:rsidRDefault="00AB5268" w:rsidP="00E3734C">
            <w:pPr>
              <w:pStyle w:val="PlainText"/>
              <w:rPr>
                <w:rFonts w:asciiTheme="minorHAnsi" w:hAnsiTheme="minorHAnsi" w:cstheme="minorHAnsi"/>
                <w:color w:val="000000"/>
              </w:rPr>
            </w:pP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32126268"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Khadija</w:t>
            </w:r>
            <w:r w:rsidR="00F75C54">
              <w:rPr>
                <w:rFonts w:asciiTheme="minorHAnsi" w:hAnsiTheme="minorHAnsi" w:cstheme="minorHAnsi"/>
              </w:rPr>
              <w:t xml:space="preserve"> </w:t>
            </w:r>
            <w:r w:rsidR="00F75C54" w:rsidRPr="009C7FAE">
              <w:rPr>
                <w:rFonts w:asciiTheme="minorHAnsi" w:hAnsiTheme="minorHAnsi" w:cstheme="minorHAnsi"/>
              </w:rPr>
              <w:t>Nisar</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234E8FE" w:rsidR="0043609E" w:rsidRPr="0043609E" w:rsidRDefault="009C7FAE" w:rsidP="0043609E">
            <w:pPr>
              <w:pStyle w:val="PlainText"/>
              <w:rPr>
                <w:rFonts w:asciiTheme="minorHAnsi" w:hAnsiTheme="minorHAnsi" w:cstheme="minorHAnsi"/>
                <w:color w:val="000000"/>
                <w:lang w:val="sv-SE" w:eastAsia="zh-CN"/>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E21534">
              <w:rPr>
                <w:rFonts w:asciiTheme="minorHAnsi" w:hAnsiTheme="minorHAnsi" w:cstheme="minorHAnsi" w:hint="eastAsia"/>
                <w:color w:val="000000"/>
                <w:lang w:eastAsia="zh-CN"/>
              </w:rPr>
              <w:t xml:space="preserve">                   </w:t>
            </w:r>
          </w:p>
        </w:tc>
        <w:tc>
          <w:tcPr>
            <w:tcW w:w="4675" w:type="dxa"/>
          </w:tcPr>
          <w:p w14:paraId="7E65A8B9" w14:textId="77777777" w:rsidR="00E21534" w:rsidRDefault="00E21534" w:rsidP="00E21534">
            <w:pPr>
              <w:rPr>
                <w:rFonts w:ascii="Aptos" w:hAnsi="Aptos"/>
                <w:color w:val="000000"/>
                <w:lang w:eastAsia="zh-CN"/>
              </w:rPr>
            </w:pPr>
            <w:r w:rsidRPr="00E21534">
              <w:rPr>
                <w:rFonts w:ascii="Aptos" w:eastAsia="Times New Roman" w:hAnsi="Aptos"/>
                <w:color w:val="000000"/>
                <w:lang w:eastAsia="zh-CN"/>
              </w:rPr>
              <w:t>3:00 PM to 5:00 PM</w:t>
            </w:r>
            <w:r>
              <w:rPr>
                <w:rFonts w:ascii="Aptos" w:hAnsi="Aptos" w:hint="eastAsia"/>
                <w:color w:val="000000"/>
                <w:lang w:eastAsia="zh-CN"/>
              </w:rPr>
              <w:t xml:space="preserve"> Tuesday</w:t>
            </w:r>
          </w:p>
          <w:p w14:paraId="3B2C7670" w14:textId="56AD6B20" w:rsidR="00E21534" w:rsidRPr="00E21534" w:rsidRDefault="00E21534" w:rsidP="00E21534">
            <w:pPr>
              <w:rPr>
                <w:rFonts w:ascii="Aptos" w:hAnsi="Aptos"/>
                <w:color w:val="000000"/>
                <w:lang w:eastAsia="zh-CN"/>
              </w:rPr>
            </w:pPr>
            <w:r>
              <w:rPr>
                <w:rFonts w:ascii="Aptos" w:hAnsi="Aptos" w:hint="eastAsia"/>
                <w:color w:val="000000"/>
                <w:lang w:eastAsia="zh-CN"/>
              </w:rPr>
              <w:t>Room 102B, Main Geography Building</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OpenIntro. OpenIntro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06D038B8" w14:textId="4F27B032" w:rsidR="004A56F9" w:rsidRDefault="007A387B" w:rsidP="004A56F9">
            <w:pPr>
              <w:jc w:val="center"/>
              <w:rPr>
                <w:rFonts w:asciiTheme="minorHAnsi" w:hAnsiTheme="minorHAnsi" w:cstheme="minorHAnsi"/>
                <w:color w:val="000000"/>
                <w:sz w:val="22"/>
                <w:szCs w:val="22"/>
              </w:rPr>
            </w:pPr>
            <w:r>
              <w:rPr>
                <w:rFonts w:asciiTheme="minorHAnsi" w:hAnsiTheme="minorHAnsi" w:cstheme="minorHAnsi"/>
                <w:color w:val="000000"/>
                <w:sz w:val="22"/>
                <w:szCs w:val="22"/>
              </w:rPr>
              <w:t>Practice 1</w:t>
            </w:r>
          </w:p>
          <w:p w14:paraId="5A22E976" w14:textId="7B62AD5D" w:rsidR="007560A5" w:rsidRPr="0043609E" w:rsidRDefault="004A56F9" w:rsidP="004A56F9">
            <w:pPr>
              <w:jc w:val="center"/>
              <w:rPr>
                <w:rFonts w:asciiTheme="minorHAnsi" w:hAnsiTheme="minorHAnsi" w:cstheme="minorHAnsi"/>
                <w:color w:val="000000"/>
              </w:rPr>
            </w:pPr>
            <w:r>
              <w:rPr>
                <w:rFonts w:asciiTheme="minorHAnsi" w:hAnsiTheme="minorHAnsi" w:cstheme="minorHAnsi"/>
                <w:color w:val="000000"/>
                <w:sz w:val="22"/>
                <w:szCs w:val="22"/>
              </w:rPr>
              <w:t>Due by Jan 22</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OpenIntro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1180A362" w:rsidR="007560A5" w:rsidRDefault="007A387B"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1</w:t>
            </w:r>
            <w:r w:rsidR="007560A5" w:rsidRPr="0043609E">
              <w:rPr>
                <w:rFonts w:asciiTheme="minorHAnsi" w:hAnsiTheme="minorHAnsi" w:cstheme="minorHAnsi"/>
                <w:color w:val="000000"/>
                <w:sz w:val="22"/>
                <w:szCs w:val="22"/>
              </w:rPr>
              <w:t xml:space="preserve"> </w:t>
            </w:r>
          </w:p>
          <w:p w14:paraId="306A9BE0" w14:textId="07F8D582" w:rsidR="007560A5" w:rsidRPr="0043609E" w:rsidRDefault="007560A5" w:rsidP="00651C9B">
            <w:pPr>
              <w:jc w:val="center"/>
              <w:rPr>
                <w:rFonts w:asciiTheme="minorHAnsi" w:hAnsiTheme="minorHAnsi" w:cstheme="minorHAnsi" w:hint="eastAsia"/>
                <w:color w:val="000000"/>
                <w:sz w:val="22"/>
                <w:szCs w:val="22"/>
                <w:lang w:eastAsia="zh-CN"/>
              </w:rPr>
            </w:pPr>
            <w:r>
              <w:rPr>
                <w:rFonts w:asciiTheme="minorHAnsi" w:hAnsiTheme="minorHAnsi" w:cstheme="minorHAnsi"/>
                <w:color w:val="000000"/>
                <w:sz w:val="22"/>
                <w:szCs w:val="22"/>
              </w:rPr>
              <w:t xml:space="preserve">Due by Feb </w:t>
            </w:r>
            <w:r w:rsidR="00796583">
              <w:rPr>
                <w:rFonts w:asciiTheme="minorHAnsi" w:hAnsiTheme="minorHAnsi" w:cstheme="minorHAnsi" w:hint="eastAsia"/>
                <w:color w:val="000000"/>
                <w:sz w:val="22"/>
                <w:szCs w:val="22"/>
                <w:lang w:eastAsia="zh-CN"/>
              </w:rPr>
              <w:t>5</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688A7007" w14:textId="47533AA8" w:rsidR="00573D35" w:rsidRDefault="00573D3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OpenIntro Ch </w:t>
            </w:r>
            <w:r>
              <w:rPr>
                <w:rFonts w:asciiTheme="minorHAnsi" w:hAnsiTheme="minorHAnsi" w:cstheme="minorHAnsi"/>
                <w:color w:val="000000"/>
                <w:sz w:val="22"/>
                <w:szCs w:val="22"/>
              </w:rPr>
              <w:t>1-2</w:t>
            </w:r>
          </w:p>
          <w:p w14:paraId="70447680" w14:textId="444D678D"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0AD236FF" w14:textId="77777777" w:rsidR="00573D35" w:rsidRDefault="00573D35" w:rsidP="00573D3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OpenIntro Ch </w:t>
            </w:r>
            <w:r>
              <w:rPr>
                <w:rFonts w:asciiTheme="minorHAnsi" w:hAnsiTheme="minorHAnsi" w:cstheme="minorHAnsi"/>
                <w:color w:val="000000"/>
                <w:sz w:val="22"/>
                <w:szCs w:val="22"/>
              </w:rPr>
              <w:t>1-2</w:t>
            </w:r>
          </w:p>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565D22F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390EE980" w:rsidR="007560A5" w:rsidRDefault="007A387B"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2</w:t>
            </w:r>
          </w:p>
          <w:p w14:paraId="4E145379" w14:textId="011AFCFF" w:rsidR="007560A5" w:rsidRPr="0043609E" w:rsidRDefault="007560A5" w:rsidP="00651C9B">
            <w:pPr>
              <w:jc w:val="center"/>
              <w:rPr>
                <w:rFonts w:asciiTheme="minorHAnsi" w:hAnsiTheme="minorHAnsi" w:cstheme="minorHAnsi" w:hint="eastAsia"/>
                <w:color w:val="000000"/>
                <w:sz w:val="22"/>
                <w:szCs w:val="22"/>
                <w:lang w:eastAsia="zh-CN"/>
              </w:rPr>
            </w:pPr>
            <w:r>
              <w:rPr>
                <w:rFonts w:asciiTheme="minorHAnsi" w:hAnsiTheme="minorHAnsi" w:cstheme="minorHAnsi"/>
                <w:color w:val="000000"/>
                <w:sz w:val="22"/>
                <w:szCs w:val="22"/>
              </w:rPr>
              <w:t xml:space="preserve">Due by Feb </w:t>
            </w:r>
            <w:r w:rsidR="00796583">
              <w:rPr>
                <w:rFonts w:asciiTheme="minorHAnsi" w:hAnsiTheme="minorHAnsi" w:cstheme="minorHAnsi" w:hint="eastAsia"/>
                <w:color w:val="000000"/>
                <w:sz w:val="22"/>
                <w:szCs w:val="22"/>
                <w:lang w:eastAsia="zh-CN"/>
              </w:rPr>
              <w:t>12</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66879D07" w14:textId="681F028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w:t>
            </w:r>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37981935" w14:textId="511F3D68" w:rsidR="00F756E8" w:rsidRDefault="007A387B"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F756E8"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3</w:t>
            </w:r>
          </w:p>
          <w:p w14:paraId="6174C4F2" w14:textId="5AC719DA" w:rsidR="007560A5" w:rsidRPr="0043609E" w:rsidRDefault="00F756E8" w:rsidP="00F756E8">
            <w:pPr>
              <w:jc w:val="center"/>
              <w:rPr>
                <w:rFonts w:asciiTheme="minorHAnsi" w:hAnsiTheme="minorHAnsi" w:cstheme="minorHAnsi" w:hint="eastAsia"/>
                <w:color w:val="000000"/>
                <w:sz w:val="22"/>
                <w:szCs w:val="22"/>
                <w:lang w:eastAsia="zh-CN"/>
              </w:rPr>
            </w:pPr>
            <w:r>
              <w:rPr>
                <w:rFonts w:asciiTheme="minorHAnsi" w:hAnsiTheme="minorHAnsi" w:cstheme="minorHAnsi"/>
                <w:color w:val="000000"/>
                <w:sz w:val="22"/>
                <w:szCs w:val="22"/>
              </w:rPr>
              <w:t>Due by Feb 2</w:t>
            </w:r>
            <w:r w:rsidR="00796583">
              <w:rPr>
                <w:rFonts w:asciiTheme="minorHAnsi" w:hAnsiTheme="minorHAnsi" w:cstheme="minorHAnsi" w:hint="eastAsia"/>
                <w:color w:val="000000"/>
                <w:sz w:val="22"/>
                <w:szCs w:val="22"/>
                <w:lang w:eastAsia="zh-CN"/>
              </w:rPr>
              <w:t>6</w:t>
            </w: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7222250E" w14:textId="4E2C183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422508C1" w14:textId="3B835AC5"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4</w:t>
            </w:r>
          </w:p>
          <w:p w14:paraId="22F48D83" w14:textId="0A1D610B" w:rsidR="007560A5" w:rsidRPr="0043609E" w:rsidRDefault="007560A5" w:rsidP="00FC5034">
            <w:pPr>
              <w:jc w:val="center"/>
              <w:rPr>
                <w:rFonts w:asciiTheme="minorHAnsi" w:hAnsiTheme="minorHAnsi" w:cstheme="minorHAnsi" w:hint="eastAsia"/>
                <w:color w:val="000000"/>
                <w:sz w:val="22"/>
                <w:szCs w:val="22"/>
                <w:lang w:eastAsia="zh-CN"/>
              </w:rPr>
            </w:pPr>
            <w:r>
              <w:rPr>
                <w:rFonts w:asciiTheme="minorHAnsi" w:hAnsiTheme="minorHAnsi" w:cstheme="minorHAnsi"/>
                <w:color w:val="000000"/>
                <w:sz w:val="22"/>
                <w:szCs w:val="22"/>
              </w:rPr>
              <w:t xml:space="preserve">Due by March </w:t>
            </w:r>
            <w:r w:rsidR="00796583">
              <w:rPr>
                <w:rFonts w:asciiTheme="minorHAnsi" w:hAnsiTheme="minorHAnsi" w:cstheme="minorHAnsi" w:hint="eastAsia"/>
                <w:color w:val="000000"/>
                <w:sz w:val="22"/>
                <w:szCs w:val="22"/>
                <w:lang w:eastAsia="zh-CN"/>
              </w:rPr>
              <w:t>12</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3CAFC4B8"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5</w:t>
            </w:r>
          </w:p>
          <w:p w14:paraId="41FAB741" w14:textId="5785E2BF" w:rsidR="007560A5" w:rsidRPr="0043609E" w:rsidRDefault="007560A5" w:rsidP="00FC5034">
            <w:pPr>
              <w:jc w:val="center"/>
              <w:rPr>
                <w:rFonts w:asciiTheme="minorHAnsi" w:hAnsiTheme="minorHAnsi" w:cstheme="minorHAnsi" w:hint="eastAsia"/>
                <w:color w:val="000000"/>
                <w:sz w:val="22"/>
                <w:szCs w:val="22"/>
                <w:lang w:eastAsia="zh-CN"/>
              </w:rPr>
            </w:pPr>
            <w:r>
              <w:rPr>
                <w:rFonts w:asciiTheme="minorHAnsi" w:hAnsiTheme="minorHAnsi" w:cstheme="minorHAnsi"/>
                <w:color w:val="000000"/>
                <w:sz w:val="22"/>
                <w:szCs w:val="22"/>
              </w:rPr>
              <w:t xml:space="preserve">Due by March </w:t>
            </w:r>
            <w:r w:rsidR="00796583">
              <w:rPr>
                <w:rFonts w:asciiTheme="minorHAnsi" w:hAnsiTheme="minorHAnsi" w:cstheme="minorHAnsi" w:hint="eastAsia"/>
                <w:color w:val="000000"/>
                <w:sz w:val="22"/>
                <w:szCs w:val="22"/>
                <w:lang w:eastAsia="zh-CN"/>
              </w:rPr>
              <w:t>19</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54CBAB7E"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6</w:t>
            </w:r>
            <w:r w:rsidR="007560A5" w:rsidRPr="0043609E">
              <w:rPr>
                <w:rFonts w:asciiTheme="minorHAnsi" w:hAnsiTheme="minorHAnsi" w:cstheme="minorHAnsi"/>
                <w:color w:val="000000"/>
                <w:sz w:val="22"/>
                <w:szCs w:val="22"/>
              </w:rPr>
              <w:t xml:space="preserve"> </w:t>
            </w:r>
          </w:p>
          <w:p w14:paraId="1AB913C7" w14:textId="0C9DF5F0" w:rsidR="007560A5" w:rsidRPr="007560A5" w:rsidRDefault="007560A5" w:rsidP="00FC5034">
            <w:pPr>
              <w:jc w:val="center"/>
              <w:rPr>
                <w:rFonts w:asciiTheme="minorHAnsi" w:hAnsiTheme="minorHAnsi" w:cstheme="minorHAnsi" w:hint="eastAsia"/>
                <w:color w:val="000000"/>
                <w:sz w:val="22"/>
                <w:szCs w:val="22"/>
                <w:lang w:eastAsia="zh-CN"/>
              </w:rPr>
            </w:pPr>
            <w:r w:rsidRPr="007560A5">
              <w:rPr>
                <w:rFonts w:asciiTheme="minorHAnsi" w:hAnsiTheme="minorHAnsi" w:cstheme="minorHAnsi"/>
                <w:color w:val="000000"/>
                <w:sz w:val="22"/>
                <w:szCs w:val="22"/>
              </w:rPr>
              <w:t xml:space="preserve">Due by </w:t>
            </w:r>
            <w:r w:rsidR="00796583">
              <w:rPr>
                <w:rFonts w:asciiTheme="minorHAnsi" w:hAnsiTheme="minorHAnsi" w:cstheme="minorHAnsi" w:hint="eastAsia"/>
                <w:color w:val="000000"/>
                <w:sz w:val="22"/>
                <w:szCs w:val="22"/>
                <w:lang w:eastAsia="zh-CN"/>
              </w:rPr>
              <w:t>April 2</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6FECDFB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D178EC9" w14:textId="32368377"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7</w:t>
            </w:r>
            <w:r w:rsidR="007560A5" w:rsidRPr="0043609E">
              <w:rPr>
                <w:rFonts w:asciiTheme="minorHAnsi" w:hAnsiTheme="minorHAnsi" w:cstheme="minorHAnsi"/>
                <w:color w:val="000000"/>
                <w:sz w:val="22"/>
                <w:szCs w:val="22"/>
              </w:rPr>
              <w:t xml:space="preserve"> </w:t>
            </w:r>
          </w:p>
          <w:p w14:paraId="6FFF5277" w14:textId="05836F9B" w:rsidR="007560A5" w:rsidRPr="0043609E" w:rsidRDefault="007560A5" w:rsidP="00FC5034">
            <w:pPr>
              <w:jc w:val="center"/>
              <w:rPr>
                <w:rFonts w:asciiTheme="minorHAnsi" w:hAnsiTheme="minorHAnsi" w:cstheme="minorHAnsi" w:hint="eastAsia"/>
                <w:color w:val="000000"/>
                <w:sz w:val="22"/>
                <w:szCs w:val="22"/>
                <w:lang w:eastAsia="zh-CN"/>
              </w:rPr>
            </w:pPr>
            <w:r>
              <w:rPr>
                <w:rFonts w:asciiTheme="minorHAnsi" w:hAnsiTheme="minorHAnsi" w:cstheme="minorHAnsi"/>
                <w:color w:val="000000"/>
                <w:sz w:val="22"/>
                <w:szCs w:val="22"/>
              </w:rPr>
              <w:t xml:space="preserve">Due by April </w:t>
            </w:r>
            <w:r w:rsidR="00796583">
              <w:rPr>
                <w:rFonts w:asciiTheme="minorHAnsi" w:hAnsiTheme="minorHAnsi" w:cstheme="minorHAnsi" w:hint="eastAsia"/>
                <w:color w:val="000000"/>
                <w:sz w:val="22"/>
                <w:szCs w:val="22"/>
                <w:lang w:eastAsia="zh-CN"/>
              </w:rPr>
              <w:t>9</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45FE23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6B8AB405" w:rsidR="007560A5" w:rsidRDefault="007A387B"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Lab</w:t>
            </w:r>
            <w:r w:rsidR="007560A5">
              <w:rPr>
                <w:rFonts w:asciiTheme="minorHAnsi" w:hAnsiTheme="minorHAnsi" w:cstheme="minorHAnsi"/>
                <w:color w:val="000000"/>
                <w:sz w:val="22"/>
                <w:szCs w:val="22"/>
              </w:rPr>
              <w:t xml:space="preserve"> </w:t>
            </w:r>
            <w:r>
              <w:rPr>
                <w:rFonts w:asciiTheme="minorHAnsi" w:hAnsiTheme="minorHAnsi" w:cstheme="minorHAnsi"/>
                <w:color w:val="000000"/>
                <w:sz w:val="22"/>
                <w:szCs w:val="22"/>
              </w:rPr>
              <w:t>8</w:t>
            </w:r>
            <w:r w:rsidR="007560A5" w:rsidRPr="0043609E">
              <w:rPr>
                <w:rFonts w:asciiTheme="minorHAnsi" w:hAnsiTheme="minorHAnsi" w:cstheme="minorHAnsi"/>
                <w:i/>
                <w:iCs/>
                <w:color w:val="000000"/>
                <w:sz w:val="22"/>
                <w:szCs w:val="22"/>
              </w:rPr>
              <w:t> </w:t>
            </w:r>
          </w:p>
          <w:p w14:paraId="59C34AB5" w14:textId="7C2EDDCE" w:rsidR="007560A5" w:rsidRPr="007560A5" w:rsidRDefault="007560A5" w:rsidP="007560A5">
            <w:pPr>
              <w:jc w:val="center"/>
              <w:rPr>
                <w:rFonts w:asciiTheme="minorHAnsi" w:hAnsiTheme="minorHAnsi" w:cstheme="minorHAnsi" w:hint="eastAsia"/>
                <w:color w:val="000000"/>
                <w:sz w:val="22"/>
                <w:szCs w:val="22"/>
                <w:lang w:eastAsia="zh-CN"/>
              </w:rPr>
            </w:pPr>
            <w:r w:rsidRPr="007560A5">
              <w:rPr>
                <w:rFonts w:asciiTheme="minorHAnsi" w:hAnsiTheme="minorHAnsi" w:cstheme="minorHAnsi"/>
                <w:color w:val="000000"/>
                <w:sz w:val="22"/>
                <w:szCs w:val="22"/>
              </w:rPr>
              <w:t xml:space="preserve">Due by April </w:t>
            </w:r>
            <w:r w:rsidR="00796583">
              <w:rPr>
                <w:rFonts w:asciiTheme="minorHAnsi" w:hAnsiTheme="minorHAnsi" w:cstheme="minorHAnsi" w:hint="eastAsia"/>
                <w:color w:val="000000"/>
                <w:sz w:val="22"/>
                <w:szCs w:val="22"/>
                <w:lang w:eastAsia="zh-CN"/>
              </w:rPr>
              <w:t>9</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3583F6FF" w:rsidR="007560A5" w:rsidRPr="0043609E" w:rsidRDefault="007560A5"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08D82CF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EC1FAB2" w14:textId="7C331F4C" w:rsidR="007A387B" w:rsidRDefault="007A387B" w:rsidP="007A387B">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Lab 9</w:t>
            </w:r>
            <w:r w:rsidRPr="0043609E">
              <w:rPr>
                <w:rFonts w:asciiTheme="minorHAnsi" w:hAnsiTheme="minorHAnsi" w:cstheme="minorHAnsi"/>
                <w:i/>
                <w:iCs/>
                <w:color w:val="000000"/>
                <w:sz w:val="22"/>
                <w:szCs w:val="22"/>
              </w:rPr>
              <w:t> </w:t>
            </w:r>
          </w:p>
          <w:p w14:paraId="3C8F7F6F" w14:textId="0CE4C58B" w:rsidR="007560A5" w:rsidRPr="0043609E" w:rsidRDefault="007A387B" w:rsidP="007A387B">
            <w:pPr>
              <w:jc w:val="center"/>
              <w:rPr>
                <w:rFonts w:asciiTheme="minorHAnsi" w:hAnsiTheme="minorHAnsi" w:cstheme="minorHAnsi" w:hint="eastAsia"/>
                <w:color w:val="000000"/>
                <w:sz w:val="22"/>
                <w:szCs w:val="22"/>
                <w:lang w:eastAsia="zh-CN"/>
              </w:rPr>
            </w:pPr>
            <w:r w:rsidRPr="007560A5">
              <w:rPr>
                <w:rFonts w:asciiTheme="minorHAnsi" w:hAnsiTheme="minorHAnsi" w:cstheme="minorHAnsi"/>
                <w:color w:val="000000"/>
                <w:sz w:val="22"/>
                <w:szCs w:val="22"/>
              </w:rPr>
              <w:t xml:space="preserve">Due by April </w:t>
            </w:r>
            <w:r w:rsidR="00796583">
              <w:rPr>
                <w:rFonts w:asciiTheme="minorHAnsi" w:hAnsiTheme="minorHAnsi" w:cstheme="minorHAnsi" w:hint="eastAsia"/>
                <w:color w:val="000000"/>
                <w:sz w:val="22"/>
                <w:szCs w:val="22"/>
                <w:lang w:eastAsia="zh-CN"/>
              </w:rPr>
              <w:t>16</w:t>
            </w: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6C16973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728D48E6" w14:textId="77777777" w:rsidR="000D4341" w:rsidRPr="000D4341" w:rsidRDefault="000D4341" w:rsidP="000D4341">
      <w:pPr>
        <w:pStyle w:val="BodyText"/>
        <w:spacing w:before="34" w:line="249" w:lineRule="auto"/>
        <w:ind w:left="115"/>
        <w:rPr>
          <w:rFonts w:asciiTheme="minorHAnsi" w:eastAsiaTheme="minorEastAsia" w:hAnsiTheme="minorHAnsi" w:cstheme="minorHAnsi"/>
          <w:color w:val="000000"/>
        </w:rPr>
      </w:pPr>
      <w:r w:rsidRPr="000D4341">
        <w:rPr>
          <w:rFonts w:asciiTheme="minorHAnsi" w:eastAsiaTheme="minorEastAsia" w:hAnsiTheme="minorHAnsi" w:cstheme="minorHAnsi"/>
          <w:color w:val="000000"/>
        </w:rPr>
        <w:t>*Course content may vary or be adjusted in order to meet the needs of the class. The instructor reserves the right to adjust the schedule or amend the content of this syllabus at any time and without notice.</w:t>
      </w:r>
    </w:p>
    <w:p w14:paraId="4B02113F" w14:textId="77777777" w:rsidR="000D4341" w:rsidRDefault="000D4341" w:rsidP="00D76AE9">
      <w:pPr>
        <w:jc w:val="both"/>
        <w:rPr>
          <w:rFonts w:asciiTheme="minorHAnsi" w:hAnsiTheme="minorHAnsi" w:cstheme="minorHAnsi"/>
          <w:b/>
          <w:bCs/>
          <w:color w:val="000000"/>
          <w:sz w:val="24"/>
          <w:szCs w:val="24"/>
        </w:rPr>
      </w:pPr>
    </w:p>
    <w:p w14:paraId="3BFF37A7" w14:textId="63583BFC"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795E779C"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8</w:t>
      </w:r>
      <w:r w:rsidR="00087258">
        <w:rPr>
          <w:rFonts w:asciiTheme="minorHAnsi" w:hAnsiTheme="minorHAnsi" w:cstheme="minorHAnsi"/>
          <w:color w:val="000000"/>
          <w:sz w:val="24"/>
          <w:szCs w:val="24"/>
        </w:rPr>
        <w:t>0</w:t>
      </w:r>
      <w:r w:rsidRPr="0043609E">
        <w:rPr>
          <w:rFonts w:asciiTheme="minorHAnsi" w:hAnsiTheme="minorHAnsi" w:cstheme="minorHAnsi"/>
          <w:color w:val="000000"/>
          <w:sz w:val="24"/>
          <w:szCs w:val="24"/>
        </w:rPr>
        <w:t xml:space="preserve">% = </w:t>
      </w:r>
      <w:r w:rsidR="004A56F9">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7C5210CA" w14:textId="660486ED"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2</w:t>
      </w:r>
      <w:r w:rsidR="0012683E" w:rsidRPr="0043609E">
        <w:rPr>
          <w:rFonts w:asciiTheme="minorHAnsi" w:hAnsiTheme="minorHAnsi" w:cstheme="minorHAnsi"/>
          <w:color w:val="000000"/>
          <w:sz w:val="24"/>
          <w:szCs w:val="24"/>
        </w:rPr>
        <w:t xml:space="preserve">0% = </w:t>
      </w:r>
      <w:r w:rsidR="004A56F9">
        <w:rPr>
          <w:rFonts w:asciiTheme="minorHAnsi" w:hAnsiTheme="minorHAnsi" w:cstheme="minorHAnsi"/>
          <w:color w:val="000000"/>
          <w:sz w:val="24"/>
          <w:szCs w:val="24"/>
        </w:rPr>
        <w:t>15</w:t>
      </w:r>
      <w:r w:rsidR="0012683E" w:rsidRPr="0043609E">
        <w:rPr>
          <w:rFonts w:asciiTheme="minorHAnsi" w:hAnsiTheme="minorHAnsi" w:cstheme="minorHAnsi"/>
          <w:color w:val="000000"/>
          <w:sz w:val="24"/>
          <w:szCs w:val="24"/>
        </w:rPr>
        <w:t xml:space="preserve">% oral + </w:t>
      </w:r>
      <w:r w:rsidR="004A56F9">
        <w:rPr>
          <w:rFonts w:asciiTheme="minorHAnsi" w:hAnsiTheme="minorHAnsi" w:cstheme="minorHAnsi"/>
          <w:color w:val="000000"/>
          <w:sz w:val="24"/>
          <w:szCs w:val="24"/>
        </w:rPr>
        <w:t>5</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lastRenderedPageBreak/>
        <w:t>ASSIGNMENTS</w:t>
      </w:r>
    </w:p>
    <w:p w14:paraId="57C49828" w14:textId="7A36DC2D" w:rsidR="00073D42"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78F448FF" w14:textId="77777777" w:rsidR="00E21534" w:rsidRPr="0043609E" w:rsidRDefault="00E21534" w:rsidP="00D7527B">
      <w:pPr>
        <w:pStyle w:val="PlainText"/>
        <w:rPr>
          <w:rFonts w:asciiTheme="minorHAnsi" w:hAnsiTheme="minorHAnsi" w:cstheme="minorHAnsi"/>
          <w:color w:val="000000"/>
          <w:sz w:val="24"/>
          <w:szCs w:val="24"/>
        </w:rPr>
      </w:pP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deliver an oral presentation, and submit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F75C54">
        <w:rPr>
          <w:rFonts w:asciiTheme="minorHAnsi" w:hAnsiTheme="minorHAnsi" w:cstheme="minorHAnsi"/>
          <w:b/>
          <w:bCs/>
          <w:color w:val="000000"/>
          <w:sz w:val="24"/>
          <w:szCs w:val="24"/>
        </w:rPr>
        <w:t xml:space="preserve">during </w:t>
      </w:r>
      <w:r w:rsidR="009C7FAE" w:rsidRPr="00F75C54">
        <w:rPr>
          <w:rFonts w:asciiTheme="minorHAnsi" w:hAnsiTheme="minorHAnsi" w:cstheme="minorHAnsi"/>
          <w:b/>
          <w:bCs/>
          <w:color w:val="000000"/>
          <w:sz w:val="24"/>
          <w:szCs w:val="24"/>
        </w:rPr>
        <w:t>Thursday’s</w:t>
      </w:r>
      <w:r w:rsidRPr="00F75C54">
        <w:rPr>
          <w:rFonts w:asciiTheme="minorHAnsi" w:hAnsiTheme="minorHAnsi" w:cstheme="minorHAnsi"/>
          <w:b/>
          <w:bCs/>
          <w:color w:val="000000"/>
          <w:sz w:val="24"/>
          <w:szCs w:val="24"/>
        </w:rPr>
        <w:t xml:space="preserve"> classes the instructions for the assignments, which will be due</w:t>
      </w:r>
      <w:r w:rsidR="009C7FAE" w:rsidRPr="00F75C54">
        <w:rPr>
          <w:rFonts w:asciiTheme="minorHAnsi" w:hAnsiTheme="minorHAnsi" w:cstheme="minorHAnsi"/>
          <w:b/>
          <w:bCs/>
          <w:color w:val="000000"/>
          <w:sz w:val="24"/>
          <w:szCs w:val="24"/>
        </w:rPr>
        <w:t xml:space="preserve"> </w:t>
      </w:r>
      <w:r w:rsidRPr="00F75C54">
        <w:rPr>
          <w:rFonts w:asciiTheme="minorHAnsi" w:hAnsiTheme="minorHAnsi" w:cstheme="minorHAnsi"/>
          <w:b/>
          <w:bCs/>
          <w:color w:val="000000"/>
          <w:sz w:val="24"/>
          <w:szCs w:val="24"/>
        </w:rPr>
        <w:t xml:space="preserve">by </w:t>
      </w:r>
      <w:r w:rsidR="00D86BC6" w:rsidRPr="00F75C54">
        <w:rPr>
          <w:rFonts w:asciiTheme="minorHAnsi" w:hAnsiTheme="minorHAnsi" w:cstheme="minorHAnsi" w:hint="eastAsia"/>
          <w:b/>
          <w:bCs/>
          <w:color w:val="000000"/>
          <w:sz w:val="24"/>
          <w:szCs w:val="24"/>
          <w:lang w:eastAsia="zh-CN"/>
        </w:rPr>
        <w:t>the specific date that list on the syllabus</w:t>
      </w:r>
      <w:r w:rsidRPr="00F75C54">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acceptable and others are not acceptable. The criterion to determine whether an excuse is acceptable is whether it would 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w:t>
      </w:r>
      <w:r w:rsidRPr="0043609E">
        <w:rPr>
          <w:rFonts w:asciiTheme="minorHAnsi" w:hAnsiTheme="minorHAnsi" w:cstheme="minorHAnsi"/>
          <w:sz w:val="24"/>
          <w:szCs w:val="24"/>
        </w:rPr>
        <w:lastRenderedPageBreak/>
        <w:t>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is located in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lastRenderedPageBreak/>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Lab sessions are held in Clark 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1E02A3D3" w14:textId="4B0CAEFA" w:rsidR="00E21534" w:rsidRPr="0043609E" w:rsidRDefault="00E21534" w:rsidP="00D97DD0">
      <w:pPr>
        <w:autoSpaceDE w:val="0"/>
        <w:autoSpaceDN w:val="0"/>
        <w:adjustRightInd w:val="0"/>
        <w:jc w:val="both"/>
        <w:rPr>
          <w:rFonts w:asciiTheme="minorHAnsi" w:eastAsia="Yuppy SC" w:hAnsiTheme="minorHAnsi" w:cstheme="minorHAnsi"/>
          <w:sz w:val="22"/>
          <w:szCs w:val="22"/>
        </w:rPr>
      </w:pPr>
      <w:r>
        <w:rPr>
          <w:noProof/>
        </w:rPr>
        <w:drawing>
          <wp:inline distT="0" distB="0" distL="0" distR="0" wp14:anchorId="40A17DF8" wp14:editId="4091A724">
            <wp:extent cx="5943600" cy="4387850"/>
            <wp:effectExtent l="0" t="0" r="0" b="0"/>
            <wp:docPr id="175824614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6143" name="Picture 1" descr="A close up of a sign&#10;&#10;Description automatically generated"/>
                    <pic:cNvPicPr/>
                  </pic:nvPicPr>
                  <pic:blipFill>
                    <a:blip r:embed="rId15"/>
                    <a:stretch>
                      <a:fillRect/>
                    </a:stretch>
                  </pic:blipFill>
                  <pic:spPr>
                    <a:xfrm>
                      <a:off x="0" y="0"/>
                      <a:ext cx="5943600" cy="4387850"/>
                    </a:xfrm>
                    <a:prstGeom prst="rect">
                      <a:avLst/>
                    </a:prstGeom>
                  </pic:spPr>
                </pic:pic>
              </a:graphicData>
            </a:graphic>
          </wp:inline>
        </w:drawing>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679BF" w14:textId="77777777" w:rsidR="007D01CC" w:rsidRDefault="007D01CC">
      <w:r>
        <w:separator/>
      </w:r>
    </w:p>
  </w:endnote>
  <w:endnote w:type="continuationSeparator" w:id="0">
    <w:p w14:paraId="4EDD5880" w14:textId="77777777" w:rsidR="007D01CC" w:rsidRDefault="007D0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51BDE" w14:textId="77777777" w:rsidR="007D01CC" w:rsidRDefault="007D01CC">
      <w:r>
        <w:separator/>
      </w:r>
    </w:p>
  </w:footnote>
  <w:footnote w:type="continuationSeparator" w:id="0">
    <w:p w14:paraId="260BC34B" w14:textId="77777777" w:rsidR="007D01CC" w:rsidRDefault="007D0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sFADXRtsI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D4341"/>
    <w:rsid w:val="000D5EF1"/>
    <w:rsid w:val="000E3593"/>
    <w:rsid w:val="000E41BD"/>
    <w:rsid w:val="000E499F"/>
    <w:rsid w:val="000E5F2A"/>
    <w:rsid w:val="000F244F"/>
    <w:rsid w:val="000F5633"/>
    <w:rsid w:val="0010013C"/>
    <w:rsid w:val="00100AB6"/>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3791"/>
    <w:rsid w:val="00147058"/>
    <w:rsid w:val="0015493F"/>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D69FF"/>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179C9"/>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6F9"/>
    <w:rsid w:val="004A57AB"/>
    <w:rsid w:val="004B1339"/>
    <w:rsid w:val="004B166C"/>
    <w:rsid w:val="004B582E"/>
    <w:rsid w:val="004C0A94"/>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71613"/>
    <w:rsid w:val="00573D35"/>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26394"/>
    <w:rsid w:val="00631885"/>
    <w:rsid w:val="00635FF6"/>
    <w:rsid w:val="00642BB0"/>
    <w:rsid w:val="00645BA2"/>
    <w:rsid w:val="00651C9B"/>
    <w:rsid w:val="00663C4A"/>
    <w:rsid w:val="0066471F"/>
    <w:rsid w:val="00665AB2"/>
    <w:rsid w:val="00670CFD"/>
    <w:rsid w:val="00674444"/>
    <w:rsid w:val="00676916"/>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659E"/>
    <w:rsid w:val="00767A60"/>
    <w:rsid w:val="00771E80"/>
    <w:rsid w:val="00775DA4"/>
    <w:rsid w:val="007846CB"/>
    <w:rsid w:val="00785009"/>
    <w:rsid w:val="00785D54"/>
    <w:rsid w:val="00790A39"/>
    <w:rsid w:val="00796583"/>
    <w:rsid w:val="007A057F"/>
    <w:rsid w:val="007A2451"/>
    <w:rsid w:val="007A36DA"/>
    <w:rsid w:val="007A387B"/>
    <w:rsid w:val="007B3384"/>
    <w:rsid w:val="007B6C5A"/>
    <w:rsid w:val="007B7C03"/>
    <w:rsid w:val="007C1D4C"/>
    <w:rsid w:val="007D01CC"/>
    <w:rsid w:val="007D1FDB"/>
    <w:rsid w:val="007D363B"/>
    <w:rsid w:val="007D56D6"/>
    <w:rsid w:val="007D5ADE"/>
    <w:rsid w:val="007E7029"/>
    <w:rsid w:val="007F29FF"/>
    <w:rsid w:val="007F3F74"/>
    <w:rsid w:val="007F782A"/>
    <w:rsid w:val="00800F90"/>
    <w:rsid w:val="008018BF"/>
    <w:rsid w:val="0080255A"/>
    <w:rsid w:val="00803A30"/>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16A0"/>
    <w:rsid w:val="00882BF1"/>
    <w:rsid w:val="008832AF"/>
    <w:rsid w:val="008846C9"/>
    <w:rsid w:val="008927C6"/>
    <w:rsid w:val="00893898"/>
    <w:rsid w:val="00895ECC"/>
    <w:rsid w:val="008A170B"/>
    <w:rsid w:val="008B2180"/>
    <w:rsid w:val="008B2BBA"/>
    <w:rsid w:val="008B2E53"/>
    <w:rsid w:val="008B3B74"/>
    <w:rsid w:val="008B597C"/>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292"/>
    <w:rsid w:val="00BD269C"/>
    <w:rsid w:val="00BD36CF"/>
    <w:rsid w:val="00BD5CBA"/>
    <w:rsid w:val="00BD7E97"/>
    <w:rsid w:val="00BF6485"/>
    <w:rsid w:val="00C01D2A"/>
    <w:rsid w:val="00C03C10"/>
    <w:rsid w:val="00C0737D"/>
    <w:rsid w:val="00C12E5B"/>
    <w:rsid w:val="00C13228"/>
    <w:rsid w:val="00C150A7"/>
    <w:rsid w:val="00C20951"/>
    <w:rsid w:val="00C237B9"/>
    <w:rsid w:val="00C26446"/>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2184"/>
    <w:rsid w:val="00D969BF"/>
    <w:rsid w:val="00D97DD0"/>
    <w:rsid w:val="00DA40FC"/>
    <w:rsid w:val="00DA63DB"/>
    <w:rsid w:val="00DA63DC"/>
    <w:rsid w:val="00DB0A89"/>
    <w:rsid w:val="00DB3877"/>
    <w:rsid w:val="00DB7A16"/>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1534"/>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0BCB"/>
    <w:rsid w:val="00F21A1C"/>
    <w:rsid w:val="00F239C8"/>
    <w:rsid w:val="00F3309C"/>
    <w:rsid w:val="00F3616F"/>
    <w:rsid w:val="00F36B4B"/>
    <w:rsid w:val="00F4077F"/>
    <w:rsid w:val="00F43DB3"/>
    <w:rsid w:val="00F45E60"/>
    <w:rsid w:val="00F60C60"/>
    <w:rsid w:val="00F756E8"/>
    <w:rsid w:val="00F75C54"/>
    <w:rsid w:val="00F778EA"/>
    <w:rsid w:val="00F8692A"/>
    <w:rsid w:val="00F9007F"/>
    <w:rsid w:val="00F913BE"/>
    <w:rsid w:val="00F9673E"/>
    <w:rsid w:val="00F96800"/>
    <w:rsid w:val="00FA036C"/>
    <w:rsid w:val="00FB3025"/>
    <w:rsid w:val="00FB37E4"/>
    <w:rsid w:val="00FB5360"/>
    <w:rsid w:val="00FB6F78"/>
    <w:rsid w:val="00FC342F"/>
    <w:rsid w:val="00FC4DE2"/>
    <w:rsid w:val="00FC5034"/>
    <w:rsid w:val="00FC54F7"/>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387B"/>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D4341"/>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0D434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35610596">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2174</TotalTime>
  <Pages>6</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11998</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Wu, Yanan</cp:lastModifiedBy>
  <cp:revision>49</cp:revision>
  <cp:lastPrinted>2025-01-20T19:05:00Z</cp:lastPrinted>
  <dcterms:created xsi:type="dcterms:W3CDTF">2022-01-19T17:45:00Z</dcterms:created>
  <dcterms:modified xsi:type="dcterms:W3CDTF">2025-01-20T19:05:00Z</dcterms:modified>
</cp:coreProperties>
</file>