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AD" w:rsidRDefault="006472AD" w:rsidP="006472AD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472AD" w:rsidRDefault="006472AD" w:rsidP="006472AD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bookmarkStart w:id="0" w:name="_GoBack"/>
      <w:r>
        <w:rPr>
          <w:rFonts w:ascii="宋体" w:hAnsi="宋体"/>
          <w:b/>
          <w:bCs/>
          <w:sz w:val="44"/>
          <w:szCs w:val="44"/>
        </w:rPr>
        <w:t>执法文书送达回证</w:t>
      </w:r>
    </w:p>
    <w:bookmarkEnd w:id="0"/>
    <w:p w:rsidR="006472AD" w:rsidRDefault="006472AD" w:rsidP="006472AD">
      <w:pPr>
        <w:autoSpaceDN w:val="0"/>
        <w:spacing w:line="560" w:lineRule="exact"/>
        <w:ind w:right="315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</w:t>
      </w:r>
      <w:r>
        <w:rPr>
          <w:rFonts w:ascii="仿宋" w:eastAsia="仿宋" w:hAnsi="仿宋"/>
          <w:sz w:val="28"/>
          <w:szCs w:val="28"/>
        </w:rPr>
        <w:t xml:space="preserve">回证字[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]第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号</w:t>
      </w:r>
    </w:p>
    <w:p w:rsidR="006472AD" w:rsidRDefault="006472AD" w:rsidP="006472AD">
      <w:pPr>
        <w:autoSpaceDN w:val="0"/>
        <w:spacing w:line="480" w:lineRule="exact"/>
        <w:ind w:right="31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送达机关名称（盖章）：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4"/>
        <w:gridCol w:w="6048"/>
      </w:tblGrid>
      <w:tr w:rsidR="006472AD" w:rsidTr="00011F4F">
        <w:trPr>
          <w:trHeight w:val="869"/>
          <w:jc w:val="center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送达文书名称及文号</w:t>
            </w:r>
          </w:p>
        </w:tc>
        <w:tc>
          <w:tcPr>
            <w:tcW w:w="6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6472AD" w:rsidTr="00011F4F">
        <w:trPr>
          <w:trHeight w:val="106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受送达人名称或姓名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6472AD" w:rsidTr="00011F4F">
        <w:trPr>
          <w:trHeight w:val="93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日 期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6472AD" w:rsidTr="00011F4F">
        <w:trPr>
          <w:trHeight w:val="879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地 点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6472AD" w:rsidTr="00011F4F">
        <w:trPr>
          <w:trHeight w:val="782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 达 方 式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6472AD" w:rsidTr="00011F4F">
        <w:trPr>
          <w:trHeight w:val="1094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收件人签字（或盖章）</w:t>
            </w: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及收件日期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72AD" w:rsidRDefault="006472AD" w:rsidP="00011F4F">
            <w:pPr>
              <w:autoSpaceDN w:val="0"/>
              <w:spacing w:line="480" w:lineRule="exact"/>
              <w:jc w:val="lef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（与受关达人的关系：             ）</w:t>
            </w:r>
          </w:p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         年  月   日 </w:t>
            </w:r>
          </w:p>
        </w:tc>
      </w:tr>
      <w:tr w:rsidR="006472AD" w:rsidTr="00011F4F">
        <w:trPr>
          <w:trHeight w:val="1066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送达人（签字）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          年  月  日</w:t>
            </w:r>
          </w:p>
        </w:tc>
      </w:tr>
      <w:tr w:rsidR="006472AD" w:rsidTr="00011F4F">
        <w:trPr>
          <w:trHeight w:val="862"/>
          <w:jc w:val="center"/>
        </w:trPr>
        <w:tc>
          <w:tcPr>
            <w:tcW w:w="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备      注</w:t>
            </w:r>
          </w:p>
        </w:tc>
        <w:tc>
          <w:tcPr>
            <w:tcW w:w="604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AD" w:rsidRDefault="006472AD" w:rsidP="00011F4F">
            <w:pPr>
              <w:autoSpaceDN w:val="0"/>
              <w:spacing w:line="48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</w:tbl>
    <w:p w:rsidR="006472AD" w:rsidRDefault="006472AD" w:rsidP="006472AD">
      <w:pPr>
        <w:autoSpaceDN w:val="0"/>
        <w:spacing w:line="48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提示：</w:t>
      </w:r>
      <w:r>
        <w:rPr>
          <w:rFonts w:ascii="仿宋" w:eastAsia="仿宋" w:hAnsi="仿宋"/>
          <w:sz w:val="28"/>
          <w:szCs w:val="28"/>
        </w:rPr>
        <w:t>行政处罚执法文书的送达方式和期限参照民事诉讼法有关规定执行。送达方式为直接送达的，应由被送达人签收，被送达人不在时可由其他有关人员代签收，但应注明与被送达人的关系；被送达人拒绝签收的，行政执法人员可作留置送达，但应在备注栏注明情况，并邀请有关证明人签字证明；邮寄送达的，应用挂号信，并作登记和索要回执；公告送达时应登记公告时间和公告范围、形式及载体，并将公告载体作附件存档。</w:t>
      </w:r>
    </w:p>
    <w:p w:rsidR="00D26524" w:rsidRPr="006472AD" w:rsidRDefault="00D26524" w:rsidP="006472AD"/>
    <w:sectPr w:rsidR="00D26524" w:rsidRPr="0064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AD"/>
    <w:rsid w:val="0062662E"/>
    <w:rsid w:val="006472A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883E1-7317-4224-A19B-F0CA4BE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2A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64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2017-01-19T05:34:00Z</dcterms:created>
  <dcterms:modified xsi:type="dcterms:W3CDTF">2017-01-19T05:35:00Z</dcterms:modified>
</cp:coreProperties>
</file>