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widowControl/>
        <w:jc w:val="left"/>
        <w:outlineLvl w:val="9"/>
        <w:rPr>
          <w:rFonts w:hint="default"/>
        </w:rPr>
      </w:pPr>
      <w:r>
        <w:rPr>
          <w:rFonts w:hint="default"/>
        </w:rPr>
        <mc:AlternateContent>
          <mc:Choice Requires="wps">
            <w:drawing>
              <wp:anchor distT="0" distB="0" distL="114300" distR="114300" simplePos="0" relativeHeight="251659264" behindDoc="0" locked="0" layoutInCell="1" allowOverlap="1">
                <wp:simplePos x="0" y="0"/>
                <wp:positionH relativeFrom="margin">
                  <wp:posOffset>439420</wp:posOffset>
                </wp:positionH>
                <wp:positionV relativeFrom="paragraph">
                  <wp:posOffset>97155</wp:posOffset>
                </wp:positionV>
                <wp:extent cx="5902325" cy="1685925"/>
                <wp:effectExtent l="0" t="0" r="0" b="0"/>
                <wp:wrapNone/>
                <wp:docPr id="4" name="文本框 1"/>
                <wp:cNvGraphicFramePr/>
                <a:graphic xmlns:a="http://schemas.openxmlformats.org/drawingml/2006/main">
                  <a:graphicData uri="http://schemas.microsoft.com/office/word/2010/wordprocessingShape">
                    <wps:wsp>
                      <wps:cNvSpPr txBox="1"/>
                      <wps:spPr>
                        <a:xfrm>
                          <a:off x="0" y="0"/>
                          <a:ext cx="5902325" cy="1685925"/>
                        </a:xfrm>
                        <a:prstGeom prst="rect">
                          <a:avLst/>
                        </a:prstGeom>
                        <a:noFill/>
                        <a:ln w="6350">
                          <a:noFill/>
                        </a:ln>
                      </wps:spPr>
                      <wps:txbx>
                        <w:txbxContent>
                          <w:p>
                            <w:pPr>
                              <w:spacing w:line="360" w:lineRule="auto"/>
                              <w:rPr>
                                <w:rFonts w:hint="default"/>
                                <w:b/>
                                <w:sz w:val="72"/>
                              </w:rPr>
                            </w:pPr>
                            <w:r>
                              <w:rPr>
                                <w:b/>
                                <w:sz w:val="72"/>
                              </w:rPr>
                              <w:t>专利申请技术交底书</w:t>
                            </w:r>
                          </w:p>
                        </w:txbxContent>
                      </wps:txbx>
                      <wps:bodyPr vert="horz" wrap="square" anchor="ctr" anchorCtr="0" upright="1"/>
                    </wps:wsp>
                  </a:graphicData>
                </a:graphic>
              </wp:anchor>
            </w:drawing>
          </mc:Choice>
          <mc:Fallback>
            <w:pict>
              <v:shape id="文本框 1" o:spid="_x0000_s1026" o:spt="202" type="#_x0000_t202" style="position:absolute;left:0pt;margin-left:34.6pt;margin-top:7.65pt;height:132.75pt;width:464.75pt;mso-position-horizontal-relative:margin;z-index:251659264;v-text-anchor:middle;mso-width-relative:page;mso-height-relative:page;" filled="f" stroked="f" coordsize="21600,21600" o:gfxdata="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QEu7D9oAAAAJAQAADwAAAAAAAAAB&#10;ACAAAAAiAAAAZHJzL2Rvd25yZXYueG1sUEsBAhQAFAAAAAgAh07iQEs0k2nVAQAAjQMAAA4AAAAA&#10;AAAAAQAgAAAAKQEAAGRycy9lMm9Eb2MueG1sUEsFBgAAAAAGAAYAWQEAAHAFAAAAAA==&#10;">
                <v:fill on="f" focussize="0,0"/>
                <v:stroke on="f" weight="0.5pt"/>
                <v:imagedata o:title=""/>
                <o:lock v:ext="edit" aspectratio="f"/>
                <v:textbox>
                  <w:txbxContent>
                    <w:p>
                      <w:pPr>
                        <w:spacing w:line="360" w:lineRule="auto"/>
                        <w:rPr>
                          <w:rFonts w:hint="default"/>
                          <w:b/>
                          <w:sz w:val="72"/>
                        </w:rPr>
                      </w:pPr>
                      <w:r>
                        <w:rPr>
                          <w:b/>
                          <w:sz w:val="72"/>
                        </w:rPr>
                        <w:t>专利申请技术交底书</w:t>
                      </w:r>
                    </w:p>
                  </w:txbxContent>
                </v:textbox>
              </v:shape>
            </w:pict>
          </mc:Fallback>
        </mc:AlternateContent>
      </w:r>
      <w:r>
        <w:rPr>
          <w:rFonts w:hint="default"/>
        </w:rPr>
        <mc:AlternateContent>
          <mc:Choice Requires="wps">
            <w:drawing>
              <wp:anchor distT="0" distB="0" distL="114300" distR="114300" simplePos="0" relativeHeight="251662336" behindDoc="0" locked="0" layoutInCell="1" allowOverlap="1">
                <wp:simplePos x="0" y="0"/>
                <wp:positionH relativeFrom="page">
                  <wp:posOffset>1348105</wp:posOffset>
                </wp:positionH>
                <wp:positionV relativeFrom="page">
                  <wp:posOffset>1484630</wp:posOffset>
                </wp:positionV>
                <wp:extent cx="283845" cy="681355"/>
                <wp:effectExtent l="0" t="0" r="1905" b="4445"/>
                <wp:wrapNone/>
                <wp:docPr id="5" name="矩形 115"/>
                <wp:cNvGraphicFramePr/>
                <a:graphic xmlns:a="http://schemas.openxmlformats.org/drawingml/2006/main">
                  <a:graphicData uri="http://schemas.microsoft.com/office/word/2010/wordprocessingShape">
                    <wps:wsp>
                      <wps:cNvSpPr/>
                      <wps:spPr>
                        <a:xfrm>
                          <a:off x="0" y="0"/>
                          <a:ext cx="283845" cy="681355"/>
                        </a:xfrm>
                        <a:prstGeom prst="rect">
                          <a:avLst/>
                        </a:prstGeom>
                        <a:solidFill>
                          <a:srgbClr val="ED7717"/>
                        </a:solidFill>
                        <a:ln w="12700">
                          <a:noFill/>
                        </a:ln>
                      </wps:spPr>
                      <wps:bodyPr vert="horz" wrap="square" anchor="ctr" anchorCtr="0" upright="1"/>
                    </wps:wsp>
                  </a:graphicData>
                </a:graphic>
              </wp:anchor>
            </w:drawing>
          </mc:Choice>
          <mc:Fallback>
            <w:pict>
              <v:rect id="矩形 115" o:spid="_x0000_s1026" o:spt="1" style="position:absolute;left:0pt;margin-left:106.15pt;margin-top:116.9pt;height:53.65pt;width:22.35pt;mso-position-horizontal-relative:page;mso-position-vertical-relative:page;z-index:251662336;v-text-anchor:middle;mso-width-relative:page;mso-height-relative:page;" fillcolor="#ED7717" filled="t" stroked="f" coordsize="21600,21600" o:gfxdata="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">
                <v:fill on="t" focussize="0,0"/>
                <v:stroke on="f" weight="1pt"/>
                <v:imagedata o:title=""/>
                <o:lock v:ext="edit" aspectratio="f"/>
              </v:rect>
            </w:pict>
          </mc:Fallback>
        </mc:AlternateContent>
      </w:r>
    </w:p>
    <w:p>
      <w:pPr>
        <w:widowControl/>
        <w:jc w:val="left"/>
        <w:outlineLvl w:val="9"/>
        <w:rPr>
          <w:rFonts w:hint="default"/>
        </w:rPr>
      </w:pPr>
    </w:p>
    <w:p>
      <w:pPr>
        <w:widowControl/>
        <w:jc w:val="left"/>
        <w:outlineLvl w:val="9"/>
        <w:rPr>
          <w:rFonts w:hint="default"/>
        </w:rPr>
      </w:pPr>
    </w:p>
    <w:p>
      <w:pPr>
        <w:widowControl/>
        <w:jc w:val="left"/>
        <w:outlineLvl w:val="9"/>
        <w:rPr>
          <w:rFonts w:hint="default"/>
        </w:rPr>
      </w:pPr>
    </w:p>
    <w:p>
      <w:pPr>
        <w:widowControl/>
        <w:jc w:val="left"/>
        <w:rPr>
          <w:rFonts w:hint="default"/>
        </w:rPr>
      </w:pP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5"/>
        <w:gridCol w:w="1418"/>
        <w:gridCol w:w="44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8" w:hRule="atLeast"/>
          <w:jc w:val="center"/>
        </w:trPr>
        <w:tc>
          <w:tcPr>
            <w:tcW w:w="2405" w:type="dxa"/>
            <w:tcBorders>
              <w:top w:val="single" w:color="auto" w:sz="4" w:space="0"/>
              <w:left w:val="single" w:color="auto" w:sz="4" w:space="0"/>
              <w:bottom w:val="single" w:color="auto" w:sz="4" w:space="0"/>
              <w:right w:val="single" w:color="auto" w:sz="4" w:space="0"/>
              <w:tl2br w:val="nil"/>
              <w:tr2bl w:val="nil"/>
            </w:tcBorders>
            <w:shd w:val="clear" w:color="auto" w:fill="BEBEBE"/>
            <w:vAlign w:val="center"/>
          </w:tcPr>
          <w:p>
            <w:pPr>
              <w:jc w:val="center"/>
              <w:rPr>
                <w:rFonts w:hint="default"/>
                <w:b/>
              </w:rPr>
            </w:pPr>
            <w:r>
              <w:rPr>
                <w:b/>
              </w:rPr>
              <w:t>项目</w:t>
            </w:r>
          </w:p>
        </w:tc>
        <w:tc>
          <w:tcPr>
            <w:tcW w:w="5838" w:type="dxa"/>
            <w:gridSpan w:val="2"/>
            <w:tcBorders>
              <w:top w:val="single" w:color="auto" w:sz="4" w:space="0"/>
              <w:left w:val="single" w:color="auto" w:sz="4" w:space="0"/>
              <w:bottom w:val="single" w:color="auto" w:sz="4" w:space="0"/>
              <w:right w:val="single" w:color="auto" w:sz="4" w:space="0"/>
              <w:tl2br w:val="nil"/>
              <w:tr2bl w:val="nil"/>
            </w:tcBorders>
            <w:shd w:val="clear" w:color="auto" w:fill="BEBEBE"/>
            <w:vAlign w:val="center"/>
          </w:tcPr>
          <w:p>
            <w:pPr>
              <w:jc w:val="center"/>
              <w:rPr>
                <w:rFonts w:hint="default"/>
              </w:rPr>
            </w:pPr>
            <w:r>
              <w:rPr>
                <w:b/>
              </w:rPr>
              <w:t>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405" w:type="dxa"/>
            <w:tcBorders>
              <w:top w:val="single" w:color="auto" w:sz="4" w:space="0"/>
              <w:left w:val="single" w:color="auto" w:sz="4" w:space="0"/>
              <w:bottom w:val="single" w:color="auto" w:sz="4" w:space="0"/>
              <w:right w:val="single" w:color="auto" w:sz="4" w:space="0"/>
              <w:tl2br w:val="nil"/>
              <w:tr2bl w:val="nil"/>
            </w:tcBorders>
            <w:vAlign w:val="center"/>
          </w:tcPr>
          <w:p>
            <w:pPr>
              <w:jc w:val="center"/>
              <w:rPr>
                <w:rFonts w:hint="default"/>
                <w:b/>
              </w:rPr>
            </w:pPr>
            <w:r>
              <w:rPr>
                <w:b/>
              </w:rPr>
              <w:t>申请人名义</w:t>
            </w:r>
          </w:p>
        </w:tc>
        <w:tc>
          <w:tcPr>
            <w:tcW w:w="5838" w:type="dxa"/>
            <w:gridSpan w:val="2"/>
            <w:tcBorders>
              <w:top w:val="single" w:color="auto" w:sz="4" w:space="0"/>
              <w:left w:val="single" w:color="auto" w:sz="4" w:space="0"/>
              <w:bottom w:val="single" w:color="auto" w:sz="4" w:space="0"/>
              <w:right w:val="single" w:color="auto" w:sz="4" w:space="0"/>
              <w:tl2br w:val="nil"/>
              <w:tr2bl w:val="nil"/>
            </w:tcBorders>
            <w:vAlign w:val="center"/>
          </w:tcPr>
          <w:p>
            <w:pPr>
              <w:jc w:val="center"/>
              <w:rPr>
                <w:rFonts w:hint="default"/>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405" w:type="dxa"/>
            <w:tcBorders>
              <w:top w:val="single" w:color="auto" w:sz="4" w:space="0"/>
              <w:left w:val="single" w:color="auto" w:sz="4" w:space="0"/>
              <w:bottom w:val="single" w:color="auto" w:sz="4" w:space="0"/>
              <w:right w:val="single" w:color="auto" w:sz="4" w:space="0"/>
              <w:tl2br w:val="nil"/>
              <w:tr2bl w:val="nil"/>
            </w:tcBorders>
            <w:vAlign w:val="center"/>
          </w:tcPr>
          <w:p>
            <w:pPr>
              <w:jc w:val="center"/>
              <w:rPr>
                <w:rFonts w:hint="default"/>
                <w:b/>
              </w:rPr>
            </w:pPr>
            <w:r>
              <w:rPr>
                <w:b/>
              </w:rPr>
              <w:t>专利名称（暂定）</w:t>
            </w:r>
          </w:p>
        </w:tc>
        <w:tc>
          <w:tcPr>
            <w:tcW w:w="5838" w:type="dxa"/>
            <w:gridSpan w:val="2"/>
            <w:tcBorders>
              <w:top w:val="single" w:color="auto" w:sz="4" w:space="0"/>
              <w:left w:val="single" w:color="auto" w:sz="4" w:space="0"/>
              <w:bottom w:val="single" w:color="auto" w:sz="4" w:space="0"/>
              <w:right w:val="single" w:color="auto" w:sz="4" w:space="0"/>
              <w:tl2br w:val="nil"/>
              <w:tr2bl w:val="nil"/>
            </w:tcBorders>
            <w:vAlign w:val="center"/>
          </w:tcPr>
          <w:p>
            <w:pPr>
              <w:jc w:val="center"/>
              <w:rPr>
                <w:rFonts w:hint="default"/>
                <w:sz w:val="28"/>
                <w:highlight w:val="magenta"/>
              </w:rPr>
            </w:pPr>
            <w:r>
              <w:rPr>
                <w:rFonts w:eastAsia="楷体_GB2312"/>
                <w:sz w:val="28"/>
              </w:rPr>
              <w:t>大数据驱动的耕地质量演变及产能估测双提升模型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405" w:type="dxa"/>
            <w:tcBorders>
              <w:top w:val="single" w:color="auto" w:sz="4" w:space="0"/>
              <w:left w:val="single" w:color="auto" w:sz="4" w:space="0"/>
              <w:bottom w:val="single" w:color="auto" w:sz="4" w:space="0"/>
              <w:right w:val="single" w:color="auto" w:sz="4" w:space="0"/>
              <w:tl2br w:val="nil"/>
              <w:tr2bl w:val="nil"/>
            </w:tcBorders>
            <w:vAlign w:val="center"/>
          </w:tcPr>
          <w:p>
            <w:pPr>
              <w:jc w:val="center"/>
              <w:rPr>
                <w:rFonts w:hint="default"/>
                <w:b/>
              </w:rPr>
            </w:pPr>
            <w:r>
              <w:rPr>
                <w:b/>
              </w:rPr>
              <w:t>申报类型</w:t>
            </w:r>
          </w:p>
        </w:tc>
        <w:tc>
          <w:tcPr>
            <w:tcW w:w="5838" w:type="dxa"/>
            <w:gridSpan w:val="2"/>
            <w:tcBorders>
              <w:top w:val="single" w:color="auto" w:sz="4" w:space="0"/>
              <w:left w:val="single" w:color="auto" w:sz="4" w:space="0"/>
              <w:bottom w:val="single" w:color="auto" w:sz="4" w:space="0"/>
              <w:right w:val="single" w:color="auto" w:sz="4" w:space="0"/>
              <w:tl2br w:val="nil"/>
              <w:tr2bl w:val="nil"/>
            </w:tcBorders>
            <w:vAlign w:val="center"/>
          </w:tcPr>
          <w:p>
            <w:pPr>
              <w:jc w:val="center"/>
              <w:rPr>
                <w:rFonts w:hint="default"/>
              </w:rPr>
            </w:pPr>
            <w:r>
              <w:rPr>
                <w:rFonts w:eastAsia="楷体_GB2312"/>
                <w:sz w:val="28"/>
              </w:rPr>
              <w:t>发明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405" w:type="dxa"/>
            <w:tcBorders>
              <w:top w:val="single" w:color="auto" w:sz="4" w:space="0"/>
              <w:left w:val="single" w:color="auto" w:sz="4" w:space="0"/>
              <w:bottom w:val="single" w:color="auto" w:sz="4" w:space="0"/>
              <w:right w:val="single" w:color="auto" w:sz="4" w:space="0"/>
              <w:tl2br w:val="nil"/>
              <w:tr2bl w:val="nil"/>
            </w:tcBorders>
            <w:vAlign w:val="center"/>
          </w:tcPr>
          <w:p>
            <w:pPr>
              <w:jc w:val="center"/>
              <w:rPr>
                <w:rFonts w:hint="default"/>
                <w:b/>
              </w:rPr>
            </w:pPr>
            <w:r>
              <w:rPr>
                <w:b/>
              </w:rPr>
              <w:t>发明人（可多个）</w:t>
            </w:r>
          </w:p>
        </w:tc>
        <w:tc>
          <w:tcPr>
            <w:tcW w:w="5838" w:type="dxa"/>
            <w:gridSpan w:val="2"/>
            <w:tcBorders>
              <w:top w:val="single" w:color="auto" w:sz="4" w:space="0"/>
              <w:left w:val="single" w:color="auto" w:sz="4" w:space="0"/>
              <w:bottom w:val="single" w:color="auto" w:sz="4" w:space="0"/>
              <w:right w:val="single" w:color="auto" w:sz="4" w:space="0"/>
              <w:tl2br w:val="nil"/>
              <w:tr2bl w:val="nil"/>
            </w:tcBorders>
            <w:vAlign w:val="center"/>
          </w:tcPr>
          <w:p>
            <w:pPr>
              <w:jc w:val="center"/>
              <w:rPr>
                <w:rFonts w:hint="default"/>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1" w:hRule="atLeast"/>
          <w:jc w:val="center"/>
        </w:trPr>
        <w:tc>
          <w:tcPr>
            <w:tcW w:w="2405" w:type="dxa"/>
            <w:vMerge w:val="restart"/>
            <w:tcBorders>
              <w:top w:val="single" w:color="auto" w:sz="4" w:space="0"/>
              <w:left w:val="single" w:color="auto" w:sz="4" w:space="0"/>
              <w:bottom w:val="single" w:color="auto" w:sz="4" w:space="0"/>
              <w:right w:val="single" w:color="auto" w:sz="4" w:space="0"/>
              <w:tl2br w:val="nil"/>
              <w:tr2bl w:val="nil"/>
            </w:tcBorders>
            <w:vAlign w:val="center"/>
          </w:tcPr>
          <w:p>
            <w:pPr>
              <w:jc w:val="center"/>
              <w:rPr>
                <w:rFonts w:hint="default"/>
                <w:b/>
              </w:rPr>
            </w:pPr>
            <w:r>
              <w:rPr>
                <w:b/>
              </w:rPr>
              <w:t>技术联系人</w:t>
            </w:r>
          </w:p>
        </w:tc>
        <w:tc>
          <w:tcPr>
            <w:tcW w:w="1418" w:type="dxa"/>
            <w:tcBorders>
              <w:top w:val="single" w:color="auto" w:sz="4" w:space="0"/>
              <w:left w:val="single" w:color="auto" w:sz="4" w:space="0"/>
              <w:bottom w:val="single" w:color="auto" w:sz="4" w:space="0"/>
              <w:right w:val="single" w:color="auto" w:sz="4" w:space="0"/>
              <w:tl2br w:val="nil"/>
              <w:tr2bl w:val="nil"/>
            </w:tcBorders>
            <w:vAlign w:val="center"/>
          </w:tcPr>
          <w:p>
            <w:pPr>
              <w:jc w:val="center"/>
              <w:rPr>
                <w:rFonts w:hint="default"/>
              </w:rPr>
            </w:pPr>
            <w:r>
              <w:rPr>
                <w:b/>
              </w:rPr>
              <w:t>姓名</w:t>
            </w:r>
          </w:p>
        </w:tc>
        <w:tc>
          <w:tcPr>
            <w:tcW w:w="4420" w:type="dxa"/>
            <w:tcBorders>
              <w:top w:val="single" w:color="auto" w:sz="4" w:space="0"/>
              <w:left w:val="single" w:color="auto" w:sz="4" w:space="0"/>
              <w:bottom w:val="single" w:color="auto" w:sz="4" w:space="0"/>
              <w:right w:val="single" w:color="auto" w:sz="4" w:space="0"/>
              <w:tl2br w:val="nil"/>
              <w:tr2bl w:val="nil"/>
            </w:tcBorders>
            <w:vAlign w:val="center"/>
          </w:tcPr>
          <w:p>
            <w:pPr>
              <w:jc w:val="center"/>
              <w:rPr>
                <w:rFonts w:hint="default"/>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0" w:hRule="atLeast"/>
          <w:jc w:val="center"/>
        </w:trPr>
        <w:tc>
          <w:tcPr>
            <w:tcW w:w="2405" w:type="dxa"/>
            <w:vMerge w:val="continue"/>
            <w:tcBorders>
              <w:top w:val="single" w:color="auto" w:sz="4" w:space="0"/>
              <w:left w:val="single" w:color="auto" w:sz="4" w:space="0"/>
              <w:bottom w:val="single" w:color="auto" w:sz="4" w:space="0"/>
              <w:right w:val="single" w:color="auto" w:sz="4" w:space="0"/>
              <w:tl2br w:val="nil"/>
              <w:tr2bl w:val="nil"/>
            </w:tcBorders>
            <w:vAlign w:val="center"/>
          </w:tcPr>
          <w:p>
            <w:pPr>
              <w:jc w:val="center"/>
              <w:rPr>
                <w:rFonts w:hint="default"/>
                <w:b/>
              </w:rPr>
            </w:pPr>
          </w:p>
        </w:tc>
        <w:tc>
          <w:tcPr>
            <w:tcW w:w="1418" w:type="dxa"/>
            <w:tcBorders>
              <w:top w:val="single" w:color="auto" w:sz="4" w:space="0"/>
              <w:left w:val="single" w:color="auto" w:sz="4" w:space="0"/>
              <w:bottom w:val="single" w:color="auto" w:sz="4" w:space="0"/>
              <w:right w:val="single" w:color="auto" w:sz="4" w:space="0"/>
              <w:tl2br w:val="nil"/>
              <w:tr2bl w:val="nil"/>
            </w:tcBorders>
            <w:vAlign w:val="center"/>
          </w:tcPr>
          <w:p>
            <w:pPr>
              <w:jc w:val="center"/>
              <w:rPr>
                <w:rFonts w:hint="default"/>
                <w:b/>
              </w:rPr>
            </w:pPr>
            <w:r>
              <w:rPr>
                <w:b/>
              </w:rPr>
              <w:t>电话</w:t>
            </w:r>
          </w:p>
        </w:tc>
        <w:tc>
          <w:tcPr>
            <w:tcW w:w="4420" w:type="dxa"/>
            <w:tcBorders>
              <w:top w:val="single" w:color="auto" w:sz="4" w:space="0"/>
              <w:left w:val="single" w:color="auto" w:sz="4" w:space="0"/>
              <w:bottom w:val="single" w:color="auto" w:sz="4" w:space="0"/>
              <w:right w:val="single" w:color="auto" w:sz="4" w:space="0"/>
              <w:tl2br w:val="nil"/>
              <w:tr2bl w:val="nil"/>
            </w:tcBorders>
            <w:vAlign w:val="center"/>
          </w:tcPr>
          <w:p>
            <w:pPr>
              <w:jc w:val="center"/>
              <w:rPr>
                <w:rFonts w:hint="default"/>
                <w: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0" w:hRule="atLeast"/>
          <w:jc w:val="center"/>
        </w:trPr>
        <w:tc>
          <w:tcPr>
            <w:tcW w:w="2405" w:type="dxa"/>
            <w:vMerge w:val="continue"/>
            <w:tcBorders>
              <w:top w:val="single" w:color="auto" w:sz="4" w:space="0"/>
              <w:left w:val="single" w:color="auto" w:sz="4" w:space="0"/>
              <w:bottom w:val="single" w:color="auto" w:sz="4" w:space="0"/>
              <w:right w:val="single" w:color="auto" w:sz="4" w:space="0"/>
              <w:tl2br w:val="nil"/>
              <w:tr2bl w:val="nil"/>
            </w:tcBorders>
            <w:vAlign w:val="center"/>
          </w:tcPr>
          <w:p>
            <w:pPr>
              <w:jc w:val="center"/>
              <w:rPr>
                <w:rFonts w:hint="default"/>
                <w:b/>
              </w:rPr>
            </w:pPr>
          </w:p>
        </w:tc>
        <w:tc>
          <w:tcPr>
            <w:tcW w:w="1418" w:type="dxa"/>
            <w:tcBorders>
              <w:top w:val="single" w:color="auto" w:sz="4" w:space="0"/>
              <w:left w:val="single" w:color="auto" w:sz="4" w:space="0"/>
              <w:bottom w:val="single" w:color="auto" w:sz="4" w:space="0"/>
              <w:right w:val="single" w:color="auto" w:sz="4" w:space="0"/>
              <w:tl2br w:val="nil"/>
              <w:tr2bl w:val="nil"/>
            </w:tcBorders>
            <w:vAlign w:val="center"/>
          </w:tcPr>
          <w:p>
            <w:pPr>
              <w:jc w:val="center"/>
              <w:rPr>
                <w:rFonts w:hint="default"/>
                <w:b/>
              </w:rPr>
            </w:pPr>
            <w:r>
              <w:rPr>
                <w:b/>
              </w:rPr>
              <w:t>邮件</w:t>
            </w:r>
          </w:p>
        </w:tc>
        <w:tc>
          <w:tcPr>
            <w:tcW w:w="4420" w:type="dxa"/>
            <w:tcBorders>
              <w:top w:val="single" w:color="auto" w:sz="4" w:space="0"/>
              <w:left w:val="single" w:color="auto" w:sz="4" w:space="0"/>
              <w:bottom w:val="single" w:color="auto" w:sz="4" w:space="0"/>
              <w:right w:val="single" w:color="auto" w:sz="4" w:space="0"/>
              <w:tl2br w:val="nil"/>
              <w:tr2bl w:val="nil"/>
            </w:tcBorders>
            <w:vAlign w:val="center"/>
          </w:tcPr>
          <w:p>
            <w:pPr>
              <w:rPr>
                <w:rFonts w:hint="default"/>
                <w:b/>
              </w:rPr>
            </w:pPr>
          </w:p>
        </w:tc>
      </w:tr>
    </w:tbl>
    <w:p>
      <w:pPr>
        <w:rPr>
          <w:rFonts w:hint="default" w:cs="Arial"/>
          <w:b/>
          <w:sz w:val="24"/>
          <w:szCs w:val="21"/>
        </w:rPr>
      </w:pPr>
      <w:r>
        <w:rPr>
          <w:rFonts w:cs="Arial"/>
          <w:b/>
          <w:sz w:val="24"/>
          <w:szCs w:val="21"/>
        </w:rPr>
        <w:t>备注：</w:t>
      </w:r>
    </w:p>
    <w:p>
      <w:pPr>
        <w:pStyle w:val="15"/>
        <w:numPr>
          <w:ilvl w:val="0"/>
          <w:numId w:val="1"/>
        </w:numPr>
        <w:spacing w:line="360" w:lineRule="auto"/>
        <w:ind w:firstLineChars="0"/>
        <w:rPr>
          <w:rFonts w:hint="default" w:ascii="Times New Roman" w:hAnsi="Times New Roman" w:eastAsia="楷体"/>
          <w:szCs w:val="21"/>
        </w:rPr>
      </w:pPr>
      <w:r>
        <w:rPr>
          <w:rFonts w:ascii="Times New Roman" w:hAnsi="Times New Roman" w:eastAsia="楷体"/>
          <w:szCs w:val="21"/>
        </w:rPr>
        <w:t>交底书对于代理人理解技术，提高案件授权率至关重要，请认真填写，</w:t>
      </w:r>
    </w:p>
    <w:p>
      <w:pPr>
        <w:pStyle w:val="15"/>
        <w:numPr>
          <w:ilvl w:val="0"/>
          <w:numId w:val="1"/>
        </w:numPr>
        <w:spacing w:line="360" w:lineRule="auto"/>
        <w:ind w:firstLineChars="0"/>
        <w:rPr>
          <w:rFonts w:hint="default" w:ascii="Times New Roman" w:hAnsi="Times New Roman" w:eastAsia="楷体"/>
          <w:szCs w:val="21"/>
        </w:rPr>
      </w:pPr>
      <w:r>
        <w:rPr>
          <w:rFonts w:ascii="Times New Roman" w:hAnsi="Times New Roman" w:eastAsia="楷体"/>
          <w:szCs w:val="21"/>
        </w:rPr>
        <w:t>在准备交底材料过程中有任何问题，敬请及时联系顾问，超凡会为您提供全程解答、指导。</w:t>
      </w:r>
    </w:p>
    <w:p>
      <w:pPr>
        <w:spacing w:line="360" w:lineRule="auto"/>
        <w:ind w:left="360" w:hanging="360" w:hangingChars="150"/>
        <w:rPr>
          <w:rFonts w:hint="default" w:ascii="Times New Roman" w:hAnsi="Times New Roman" w:eastAsia="楷体"/>
          <w:sz w:val="24"/>
          <w:szCs w:val="21"/>
        </w:rPr>
      </w:pPr>
      <w:r>
        <w:rPr>
          <w:rFonts w:hint="default" w:ascii="Times New Roman" w:hAnsi="Times New Roman" w:eastAsia="楷体"/>
          <w:sz w:val="24"/>
          <w:szCs w:val="21"/>
        </w:rPr>
        <w:t>3</w:t>
      </w:r>
      <w:r>
        <w:rPr>
          <w:rFonts w:ascii="Times New Roman" w:hAnsi="Times New Roman" w:eastAsia="楷体"/>
          <w:sz w:val="24"/>
          <w:szCs w:val="21"/>
        </w:rPr>
        <w:t>．技术联系人需对本技术有深入了解，如交底书撰写人，负责向专利审核人员和代理人解释技术细节、修改交底书、审核申请文件等工作。</w:t>
      </w:r>
    </w:p>
    <w:p>
      <w:pPr>
        <w:spacing w:before="156" w:beforeLines="50" w:line="480" w:lineRule="exact"/>
        <w:outlineLvl w:val="9"/>
        <w:rPr>
          <w:rFonts w:hint="default" w:ascii="黑体" w:eastAsia="黑体"/>
          <w:sz w:val="24"/>
        </w:rPr>
      </w:pPr>
    </w:p>
    <w:p>
      <w:pPr>
        <w:spacing w:before="156" w:beforeLines="50" w:line="480" w:lineRule="exact"/>
        <w:outlineLvl w:val="9"/>
        <w:rPr>
          <w:rFonts w:hint="default" w:ascii="黑体" w:eastAsia="黑体"/>
          <w:sz w:val="24"/>
        </w:rPr>
      </w:pPr>
    </w:p>
    <w:p>
      <w:pPr>
        <w:spacing w:before="156" w:beforeLines="50" w:line="480" w:lineRule="exact"/>
        <w:outlineLvl w:val="9"/>
        <w:rPr>
          <w:rFonts w:hint="default" w:ascii="黑体" w:eastAsia="黑体"/>
          <w:sz w:val="24"/>
        </w:rPr>
      </w:pPr>
    </w:p>
    <w:p>
      <w:pPr>
        <w:spacing w:before="156" w:beforeLines="50" w:after="156" w:afterLines="50" w:line="480" w:lineRule="exact"/>
        <w:outlineLvl w:val="9"/>
        <w:rPr>
          <w:rFonts w:hint="default" w:ascii="黑体" w:eastAsia="黑体"/>
          <w:b/>
          <w:sz w:val="24"/>
        </w:rPr>
      </w:pPr>
      <w:r>
        <w:rPr>
          <w:rFonts w:hint="default"/>
        </w:rPr>
        <mc:AlternateContent>
          <mc:Choice Requires="wps">
            <w:drawing>
              <wp:anchor distT="0" distB="0" distL="114300" distR="114300" simplePos="0" relativeHeight="251661312" behindDoc="0" locked="0" layoutInCell="1" allowOverlap="1">
                <wp:simplePos x="0" y="0"/>
                <wp:positionH relativeFrom="margin">
                  <wp:posOffset>-282575</wp:posOffset>
                </wp:positionH>
                <wp:positionV relativeFrom="paragraph">
                  <wp:posOffset>109855</wp:posOffset>
                </wp:positionV>
                <wp:extent cx="2751455" cy="261620"/>
                <wp:effectExtent l="0" t="0" r="0" b="0"/>
                <wp:wrapNone/>
                <wp:docPr id="7" name="文本框 3"/>
                <wp:cNvGraphicFramePr/>
                <a:graphic xmlns:a="http://schemas.openxmlformats.org/drawingml/2006/main">
                  <a:graphicData uri="http://schemas.microsoft.com/office/word/2010/wordprocessingShape">
                    <wps:wsp>
                      <wps:cNvSpPr txBox="1"/>
                      <wps:spPr>
                        <a:xfrm flipH="1">
                          <a:off x="0" y="0"/>
                          <a:ext cx="2751455" cy="261620"/>
                        </a:xfrm>
                        <a:prstGeom prst="rect">
                          <a:avLst/>
                        </a:prstGeom>
                        <a:noFill/>
                        <a:ln>
                          <a:noFill/>
                        </a:ln>
                      </wps:spPr>
                      <wps:txbx>
                        <w:txbxContent>
                          <w:p>
                            <w:pPr>
                              <w:pStyle w:val="9"/>
                              <w:spacing w:before="0" w:beforeAutospacing="0" w:after="0" w:afterAutospacing="0"/>
                              <w:rPr>
                                <w:rFonts w:hint="default"/>
                                <w:color w:val="000000"/>
                              </w:rPr>
                            </w:pPr>
                            <w:r>
                              <w:rPr>
                                <w:rFonts w:ascii="微软雅黑" w:hAnsi="微软雅黑" w:eastAsia="微软雅黑" w:cs="+mn-cs"/>
                                <w:color w:val="000000"/>
                                <w:kern w:val="24"/>
                                <w:sz w:val="22"/>
                                <w:szCs w:val="22"/>
                              </w:rPr>
                              <w:t>知识产权全产业链解决方案提供商™</w:t>
                            </w:r>
                          </w:p>
                        </w:txbxContent>
                      </wps:txbx>
                      <wps:bodyPr vert="horz" wrap="square" anchor="t" anchorCtr="0" upright="1">
                        <a:spAutoFit/>
                      </wps:bodyPr>
                    </wps:wsp>
                  </a:graphicData>
                </a:graphic>
              </wp:anchor>
            </w:drawing>
          </mc:Choice>
          <mc:Fallback>
            <w:pict>
              <v:shape id="文本框 3" o:spid="_x0000_s1026" o:spt="202" type="#_x0000_t202" style="position:absolute;left:0pt;flip:x;margin-left:-22.25pt;margin-top:8.65pt;height:20.6pt;width:216.65pt;mso-position-horizontal-relative:margin;z-index:251661312;mso-width-relative:page;mso-height-relative:page;" filled="f" stroked="f" coordsize="21600,21600" o:gfxdata="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TgjzmdoAAAAJAQAA&#10;DwAAAAAAAAABACAAAAAiAAAAZHJzL2Rvd25yZXYueG1sUEsBAhQAFAAAAAgAh07iQNnYQzfeAQAA&#10;pQMAAA4AAAAAAAAAAQAgAAAAKQEAAGRycy9lMm9Eb2MueG1sUEsFBgAAAAAGAAYAWQEAAHkFAAAA&#10;AA==&#10;">
                <v:fill on="f" focussize="0,0"/>
                <v:stroke on="f"/>
                <v:imagedata o:title=""/>
                <o:lock v:ext="edit" aspectratio="f"/>
                <v:textbox style="mso-fit-shape-to-text:t;">
                  <w:txbxContent>
                    <w:p>
                      <w:pPr>
                        <w:pStyle w:val="9"/>
                        <w:spacing w:before="0" w:beforeAutospacing="0" w:after="0" w:afterAutospacing="0"/>
                        <w:rPr>
                          <w:rFonts w:hint="default"/>
                          <w:color w:val="000000"/>
                        </w:rPr>
                      </w:pPr>
                      <w:r>
                        <w:rPr>
                          <w:rFonts w:ascii="微软雅黑" w:hAnsi="微软雅黑" w:eastAsia="微软雅黑" w:cs="+mn-cs"/>
                          <w:color w:val="000000"/>
                          <w:kern w:val="24"/>
                          <w:sz w:val="22"/>
                          <w:szCs w:val="22"/>
                        </w:rPr>
                        <w:t>知识产权全产业链解决方案提供商™</w:t>
                      </w:r>
                    </w:p>
                  </w:txbxContent>
                </v:textbox>
              </v:shape>
            </w:pict>
          </mc:Fallback>
        </mc:AlternateContent>
      </w:r>
    </w:p>
    <w:p>
      <w:pPr>
        <w:spacing w:before="156" w:beforeLines="50" w:after="156" w:afterLines="50" w:line="480" w:lineRule="exact"/>
        <w:outlineLvl w:val="0"/>
        <w:rPr>
          <w:rFonts w:hint="default" w:ascii="黑体" w:eastAsia="黑体"/>
          <w:b/>
          <w:sz w:val="24"/>
        </w:rPr>
      </w:pPr>
      <w:r>
        <w:rPr>
          <w:rFonts w:ascii="黑体" w:eastAsia="黑体"/>
          <w:b/>
          <w:sz w:val="24"/>
        </w:rPr>
        <w:t>一、与本专利最接近的现有技术：</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28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0" w:hRule="atLeast"/>
        </w:trPr>
        <w:tc>
          <w:tcPr>
            <w:tcW w:w="9288" w:type="dxa"/>
            <w:tcBorders>
              <w:top w:val="single" w:color="auto" w:sz="4" w:space="0"/>
              <w:left w:val="single" w:color="auto" w:sz="4" w:space="0"/>
              <w:bottom w:val="single" w:color="auto" w:sz="4" w:space="0"/>
              <w:right w:val="single" w:color="auto" w:sz="4" w:space="0"/>
              <w:tl2br w:val="nil"/>
              <w:tr2bl w:val="nil"/>
            </w:tcBorders>
          </w:tcPr>
          <w:p>
            <w:pPr>
              <w:spacing w:line="480" w:lineRule="exact"/>
              <w:ind w:firstLine="480" w:firstLineChars="200"/>
              <w:outlineLvl w:val="0"/>
              <w:rPr>
                <w:rFonts w:hint="default" w:ascii="Times New Roman" w:hAnsi="Times New Roman" w:eastAsia="楷体"/>
                <w:color w:val="0000FF"/>
                <w:sz w:val="24"/>
              </w:rPr>
            </w:pPr>
            <w:r>
              <w:rPr>
                <w:rFonts w:hint="default" w:ascii="Times New Roman" w:hAnsi="Times New Roman" w:eastAsia="楷体"/>
                <w:color w:val="0000FF"/>
                <w:sz w:val="24"/>
              </w:rPr>
              <w:t>1</w:t>
            </w:r>
            <w:r>
              <w:rPr>
                <w:rFonts w:ascii="Times New Roman" w:hAnsi="Times New Roman" w:eastAsia="楷体"/>
                <w:color w:val="0000FF"/>
                <w:sz w:val="24"/>
              </w:rPr>
              <w:t>、现有技术的方案简述（只需要描述与本专利相关的内容）：</w:t>
            </w:r>
          </w:p>
          <w:p>
            <w:pPr>
              <w:spacing w:line="480" w:lineRule="exact"/>
              <w:ind w:firstLine="480" w:firstLineChars="200"/>
              <w:outlineLvl w:val="0"/>
              <w:rPr>
                <w:rFonts w:hint="default" w:ascii="宋体" w:hAnsi="宋体" w:eastAsia="宋体"/>
              </w:rPr>
            </w:pPr>
            <w:r>
              <w:rPr>
                <w:rFonts w:hint="default" w:ascii="Times New Roman" w:hAnsi="Times New Roman" w:eastAsia="楷体"/>
                <w:color w:val="0000FF"/>
                <w:sz w:val="24"/>
              </w:rPr>
              <w:t>2</w:t>
            </w:r>
            <w:r>
              <w:rPr>
                <w:rFonts w:ascii="Times New Roman" w:hAnsi="Times New Roman" w:eastAsia="楷体"/>
                <w:color w:val="0000FF"/>
                <w:sz w:val="24"/>
              </w:rPr>
              <w:t>、现有技术的客观缺点（通过本专利能够解决或改善的一个或多个缺点）：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95" w:hRule="atLeast"/>
        </w:trPr>
        <w:tc>
          <w:tcPr>
            <w:tcW w:w="9288" w:type="dxa"/>
            <w:tcBorders>
              <w:top w:val="single" w:color="auto" w:sz="4" w:space="0"/>
              <w:left w:val="single" w:color="auto" w:sz="4" w:space="0"/>
              <w:bottom w:val="single" w:color="auto" w:sz="4" w:space="0"/>
              <w:right w:val="single" w:color="auto" w:sz="4" w:space="0"/>
              <w:tl2br w:val="nil"/>
              <w:tr2bl w:val="nil"/>
            </w:tcBorders>
          </w:tcPr>
          <w:p>
            <w:pPr>
              <w:spacing w:line="480" w:lineRule="exact"/>
              <w:outlineLvl w:val="0"/>
              <w:rPr>
                <w:rFonts w:hint="default" w:ascii="仿宋_GB2312" w:hAnsi="楷体" w:eastAsia="仿宋_GB2312"/>
                <w:color w:val="000000"/>
                <w:sz w:val="24"/>
              </w:rPr>
            </w:pPr>
          </w:p>
          <w:p>
            <w:pPr>
              <w:spacing w:line="480" w:lineRule="exact"/>
              <w:ind w:firstLine="480" w:firstLineChars="200"/>
              <w:outlineLvl w:val="0"/>
              <w:rPr>
                <w:rFonts w:hint="default" w:ascii="Times New Roman" w:hAnsi="Times New Roman" w:eastAsia="宋体"/>
                <w:bCs/>
                <w:sz w:val="24"/>
                <w:szCs w:val="24"/>
              </w:rPr>
            </w:pPr>
            <w:r>
              <w:rPr>
                <w:rFonts w:ascii="Times New Roman" w:hAnsi="Times New Roman" w:eastAsia="宋体"/>
                <w:bCs/>
                <w:sz w:val="24"/>
                <w:szCs w:val="24"/>
              </w:rPr>
              <w:t>东北黑土地是全球四大黑土区之一，是国家粮食安全的压舱石。但目前松嫩平原北部厚层黑土玉豆轮作区气候冷凉、土壤酸化、春旱频发；中部旱田坡耕地水蚀严重，水田土壤粘重，养分有效性差；南部瘠薄黑土区，土壤有机质低、耕层浅薄。针对上述问题，急需耕地质量</w:t>
            </w:r>
            <w:r>
              <w:rPr>
                <w:rFonts w:hint="default" w:ascii="Times New Roman" w:hAnsi="Times New Roman" w:eastAsia="宋体"/>
                <w:bCs/>
                <w:sz w:val="24"/>
                <w:szCs w:val="24"/>
              </w:rPr>
              <w:t>/粮食产能的评估预测方法，为松嫩平原耕地质量与粮食产能双提升技术模式构建提供支，助力国家粮食安全。</w:t>
            </w:r>
          </w:p>
          <w:p>
            <w:pPr>
              <w:spacing w:line="480" w:lineRule="exact"/>
              <w:ind w:firstLine="480" w:firstLineChars="200"/>
              <w:outlineLvl w:val="0"/>
              <w:rPr>
                <w:rFonts w:hint="default" w:ascii="Times New Roman" w:hAnsi="Times New Roman" w:eastAsia="宋体"/>
                <w:bCs/>
                <w:sz w:val="24"/>
                <w:szCs w:val="24"/>
              </w:rPr>
            </w:pPr>
            <w:r>
              <w:rPr>
                <w:rFonts w:ascii="Times New Roman" w:hAnsi="Times New Roman" w:eastAsia="宋体"/>
                <w:bCs/>
                <w:sz w:val="24"/>
                <w:szCs w:val="24"/>
              </w:rPr>
              <w:t>但目前大尺度的耕地质量评价和粮食产能预测主要依赖于气象和遥感数据，在考虑影响因子方面相对单一，深度学习等新方法运用较少，缺少动态预测，并且未将耕地质量与产量估计建模结合，耕地质量和粮食产量提升关系不清晰。</w:t>
            </w:r>
          </w:p>
          <w:p>
            <w:pPr>
              <w:spacing w:line="480" w:lineRule="exact"/>
              <w:ind w:firstLine="480" w:firstLineChars="200"/>
              <w:outlineLvl w:val="0"/>
              <w:rPr>
                <w:rFonts w:hint="default" w:ascii="Times New Roman" w:hAnsi="Times New Roman" w:eastAsia="宋体"/>
                <w:bCs/>
                <w:sz w:val="24"/>
                <w:szCs w:val="24"/>
              </w:rPr>
            </w:pPr>
            <w:r>
              <w:rPr>
                <w:rFonts w:ascii="Times New Roman" w:hAnsi="Times New Roman" w:eastAsia="宋体"/>
                <w:bCs/>
                <w:sz w:val="24"/>
                <w:szCs w:val="24"/>
              </w:rPr>
              <w:t>本案提供了一种基于大数据的耕地质量演变预测和产量估测方法。该方法包括：耕地质量演变预测模型和产量估测模型；依托多要素联网观测获取的大数据，明确耕地质量评价关键限制因子，利用长短期记忆神经网络模型（</w:t>
            </w:r>
            <w:r>
              <w:rPr>
                <w:rFonts w:hint="default" w:ascii="Times New Roman" w:hAnsi="Times New Roman" w:eastAsia="宋体"/>
                <w:bCs/>
                <w:sz w:val="24"/>
                <w:szCs w:val="24"/>
              </w:rPr>
              <w:t>LSTM）重构近实时预测模型，构建耕地质量演变预测模型；通过地理加权回归（GWR）、机器学习等模型，明确耕地质量与产能提升的耦合关系，构建粮食产量估测模型。开展农艺措施的时空分析，揭示其对产能作用强度的空间尺度差异和空间异质性格局。</w:t>
            </w:r>
          </w:p>
          <w:p>
            <w:pPr>
              <w:spacing w:line="480" w:lineRule="exact"/>
              <w:ind w:firstLine="480" w:firstLineChars="200"/>
              <w:outlineLvl w:val="0"/>
              <w:rPr>
                <w:rFonts w:hint="default" w:ascii="仿宋_GB2312" w:hAnsi="楷体" w:eastAsia="仿宋_GB2312"/>
                <w:color w:val="000000"/>
                <w:sz w:val="24"/>
              </w:rPr>
            </w:pPr>
          </w:p>
          <w:p>
            <w:pPr>
              <w:spacing w:line="480" w:lineRule="exact"/>
              <w:outlineLvl w:val="0"/>
              <w:rPr>
                <w:rFonts w:hint="default" w:ascii="Helvetica" w:hAnsi="Helvetica" w:eastAsia="Helvetica" w:cs="Helvetica"/>
                <w:color w:val="333333"/>
                <w:sz w:val="14"/>
                <w:szCs w:val="14"/>
                <w:shd w:val="clear" w:color="auto" w:fill="FFFFFF"/>
              </w:rPr>
            </w:pPr>
          </w:p>
        </w:tc>
      </w:tr>
    </w:tbl>
    <w:p>
      <w:pPr>
        <w:spacing w:line="480" w:lineRule="exact"/>
        <w:ind w:firstLine="480" w:firstLineChars="200"/>
        <w:outlineLvl w:val="9"/>
        <w:rPr>
          <w:rFonts w:hint="default" w:ascii="仿宋_GB2312" w:hAnsi="楷体" w:eastAsia="仿宋_GB2312"/>
          <w:color w:val="000000"/>
          <w:sz w:val="24"/>
        </w:rPr>
      </w:pPr>
    </w:p>
    <w:p>
      <w:pPr>
        <w:spacing w:before="156" w:beforeLines="50" w:after="156" w:afterLines="50" w:line="480" w:lineRule="exact"/>
        <w:outlineLvl w:val="0"/>
        <w:rPr>
          <w:rFonts w:hint="default" w:ascii="黑体" w:eastAsia="黑体"/>
          <w:b/>
          <w:sz w:val="24"/>
        </w:rPr>
      </w:pPr>
      <w:r>
        <w:rPr>
          <w:rFonts w:ascii="黑体" w:eastAsia="黑体"/>
          <w:b/>
          <w:sz w:val="24"/>
        </w:rPr>
        <w:t>二、本专利的技术：</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28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61" w:hRule="atLeast"/>
        </w:trPr>
        <w:tc>
          <w:tcPr>
            <w:tcW w:w="9288" w:type="dxa"/>
            <w:tcBorders>
              <w:top w:val="single" w:color="auto" w:sz="4" w:space="0"/>
              <w:left w:val="single" w:color="auto" w:sz="4" w:space="0"/>
              <w:bottom w:val="single" w:color="auto" w:sz="4" w:space="0"/>
              <w:right w:val="single" w:color="auto" w:sz="4" w:space="0"/>
              <w:tl2br w:val="nil"/>
              <w:tr2bl w:val="nil"/>
            </w:tcBorders>
          </w:tcPr>
          <w:p>
            <w:pPr>
              <w:spacing w:line="480" w:lineRule="exact"/>
              <w:ind w:firstLine="480" w:firstLineChars="200"/>
              <w:outlineLvl w:val="0"/>
              <w:rPr>
                <w:rFonts w:hint="default" w:ascii="Times New Roman" w:hAnsi="Times New Roman" w:eastAsia="宋体"/>
                <w:color w:val="0000FF"/>
                <w:sz w:val="24"/>
              </w:rPr>
            </w:pPr>
            <w:r>
              <w:rPr>
                <w:rFonts w:ascii="Times New Roman" w:hAnsi="Times New Roman" w:eastAsia="宋体"/>
                <w:color w:val="0000FF"/>
                <w:sz w:val="24"/>
              </w:rPr>
              <w:t>具体方案（描述的重点：与现有技术对比，本专利的差别以及如何通过这些差别实现客观改进效果）。</w:t>
            </w:r>
          </w:p>
          <w:p>
            <w:pPr>
              <w:spacing w:line="480" w:lineRule="exact"/>
              <w:ind w:firstLine="480" w:firstLineChars="200"/>
              <w:outlineLvl w:val="0"/>
              <w:rPr>
                <w:rFonts w:hint="default" w:ascii="Times New Roman" w:hAnsi="Times New Roman" w:eastAsia="宋体"/>
                <w:color w:val="0000FF"/>
                <w:sz w:val="24"/>
              </w:rPr>
            </w:pPr>
            <w:r>
              <w:rPr>
                <w:rFonts w:ascii="Times New Roman" w:hAnsi="Times New Roman" w:eastAsia="宋体"/>
                <w:color w:val="0000FF"/>
                <w:sz w:val="24"/>
              </w:rPr>
              <w:t>如果是计算机软件发明，请附上反映方案流程的流程图。</w:t>
            </w:r>
          </w:p>
          <w:p>
            <w:pPr>
              <w:spacing w:line="480" w:lineRule="exact"/>
              <w:ind w:firstLine="480" w:firstLineChars="200"/>
              <w:outlineLvl w:val="0"/>
              <w:rPr>
                <w:rFonts w:hint="default" w:ascii="Times New Roman" w:hAnsi="Times New Roman" w:eastAsia="宋体"/>
                <w:color w:val="0000FF"/>
                <w:sz w:val="24"/>
              </w:rPr>
            </w:pPr>
            <w:r>
              <w:rPr>
                <w:rFonts w:ascii="Times New Roman" w:hAnsi="Times New Roman" w:eastAsia="宋体"/>
                <w:color w:val="0000FF"/>
                <w:sz w:val="24"/>
              </w:rPr>
              <w:t>如果是产品，</w:t>
            </w:r>
            <w:bookmarkStart w:id="0" w:name="_GoBack"/>
            <w:bookmarkEnd w:id="0"/>
            <w:r>
              <w:rPr>
                <w:rFonts w:ascii="Times New Roman" w:hAnsi="Times New Roman" w:eastAsia="宋体"/>
                <w:color w:val="0000FF"/>
                <w:sz w:val="24"/>
              </w:rPr>
              <w:t>请附上计算机绘图（应该是线条描绘）以反映产品的各个部件。</w:t>
            </w:r>
          </w:p>
          <w:p>
            <w:pPr>
              <w:spacing w:line="480" w:lineRule="exact"/>
              <w:ind w:firstLine="480" w:firstLineChars="200"/>
              <w:outlineLvl w:val="0"/>
              <w:rPr>
                <w:rFonts w:hint="default" w:ascii="Times New Roman" w:hAnsi="Times New Roman" w:eastAsia="宋体"/>
                <w:color w:val="FF0000"/>
                <w:sz w:val="24"/>
              </w:rPr>
            </w:pPr>
            <w:r>
              <w:rPr>
                <w:rFonts w:ascii="Times New Roman" w:hAnsi="Times New Roman" w:eastAsia="宋体"/>
                <w:color w:val="0000FF"/>
                <w:sz w:val="24"/>
              </w:rPr>
              <w:t>请配合附图来描述各部件配合（可结合附图中的数字标记描述），各步骤次序。</w:t>
            </w:r>
            <w:r>
              <w:rPr>
                <w:rFonts w:ascii="Times New Roman" w:hAnsi="Times New Roman" w:eastAsia="宋体"/>
                <w:color w:val="FF0000"/>
                <w:sz w:val="24"/>
              </w:rPr>
              <w:t>应当详细到图中有标号的每个部件和每个步骤都要描述到</w:t>
            </w:r>
            <w:r>
              <w:rPr>
                <w:rFonts w:ascii="Times New Roman" w:hAnsi="Times New Roman" w:eastAsia="宋体"/>
                <w:color w:val="0000FF"/>
                <w:sz w:val="24"/>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8" w:hRule="atLeast"/>
        </w:trPr>
        <w:tc>
          <w:tcPr>
            <w:tcW w:w="9288" w:type="dxa"/>
            <w:tcBorders>
              <w:top w:val="single" w:color="auto" w:sz="4" w:space="0"/>
              <w:left w:val="single" w:color="auto" w:sz="4" w:space="0"/>
              <w:bottom w:val="single" w:color="auto" w:sz="4" w:space="0"/>
              <w:right w:val="single" w:color="auto" w:sz="4" w:space="0"/>
              <w:tl2br w:val="nil"/>
              <w:tr2bl w:val="nil"/>
            </w:tcBorders>
          </w:tcPr>
          <w:p>
            <w:pPr>
              <w:snapToGrid w:val="0"/>
              <w:spacing w:line="360" w:lineRule="auto"/>
              <w:outlineLvl w:val="0"/>
              <w:rPr>
                <w:rFonts w:hint="default" w:ascii="Times New Roman" w:hAnsi="Times New Roman" w:eastAsia="宋体"/>
                <w:color w:val="000000"/>
                <w:sz w:val="24"/>
              </w:rPr>
            </w:pPr>
            <w:r>
              <w:rPr>
                <w:rFonts w:ascii="Times New Roman" w:hAnsi="Times New Roman" w:eastAsia="宋体"/>
                <w:color w:val="000000"/>
                <w:sz w:val="24"/>
              </w:rPr>
              <w:drawing>
                <wp:inline distT="0" distB="0" distL="0" distR="0">
                  <wp:extent cx="5760720" cy="4685665"/>
                  <wp:effectExtent l="0" t="0" r="0" b="635"/>
                  <wp:docPr id="13299372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937251" name="图片 1"/>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5760720" cy="4685665"/>
                          </a:xfrm>
                          <a:prstGeom prst="rect">
                            <a:avLst/>
                          </a:prstGeom>
                        </pic:spPr>
                      </pic:pic>
                    </a:graphicData>
                  </a:graphic>
                </wp:inline>
              </w:drawing>
            </w:r>
          </w:p>
          <w:p>
            <w:pPr>
              <w:snapToGrid w:val="0"/>
              <w:spacing w:line="360" w:lineRule="auto"/>
              <w:jc w:val="center"/>
              <w:outlineLvl w:val="0"/>
              <w:rPr>
                <w:rFonts w:hint="default" w:ascii="Times New Roman" w:hAnsi="Times New Roman" w:eastAsia="宋体"/>
                <w:color w:val="000000"/>
                <w:sz w:val="24"/>
              </w:rPr>
            </w:pPr>
            <w:r>
              <w:rPr>
                <w:rFonts w:ascii="Times New Roman" w:hAnsi="Times New Roman" w:eastAsia="宋体"/>
                <w:color w:val="000000"/>
                <w:sz w:val="24"/>
              </w:rPr>
              <w:t>图1 算法流程图</w:t>
            </w:r>
          </w:p>
          <w:p>
            <w:pPr>
              <w:snapToGrid w:val="0"/>
              <w:spacing w:line="360" w:lineRule="auto"/>
              <w:outlineLvl w:val="0"/>
              <w:rPr>
                <w:rFonts w:hint="default" w:ascii="Times New Roman" w:hAnsi="Times New Roman" w:eastAsia="宋体"/>
                <w:b/>
                <w:sz w:val="24"/>
              </w:rPr>
            </w:pPr>
            <w:r>
              <w:rPr>
                <w:rFonts w:ascii="Times New Roman" w:hAnsi="Times New Roman" w:eastAsia="宋体"/>
                <w:b/>
                <w:sz w:val="24"/>
              </w:rPr>
              <w:t>本案实施步骤：</w:t>
            </w:r>
          </w:p>
          <w:p>
            <w:pPr>
              <w:numPr>
                <w:ilvl w:val="255"/>
                <w:numId w:val="0"/>
              </w:numPr>
              <w:snapToGrid w:val="0"/>
              <w:spacing w:line="360" w:lineRule="auto"/>
              <w:outlineLvl w:val="0"/>
              <w:rPr>
                <w:rFonts w:hint="default" w:ascii="Times New Roman" w:hAnsi="Times New Roman" w:eastAsia="宋体"/>
                <w:bCs/>
                <w:sz w:val="24"/>
                <w:szCs w:val="24"/>
              </w:rPr>
            </w:pPr>
            <w:r>
              <w:rPr>
                <w:rFonts w:ascii="Times New Roman" w:hAnsi="Times New Roman" w:eastAsia="宋体"/>
                <w:bCs/>
                <w:sz w:val="24"/>
                <w:szCs w:val="24"/>
              </w:rPr>
              <w:t>一、基于大数据的耕地质量演变预测模型</w:t>
            </w:r>
          </w:p>
          <w:p>
            <w:pPr>
              <w:numPr>
                <w:ilvl w:val="255"/>
                <w:numId w:val="0"/>
              </w:numPr>
              <w:snapToGrid w:val="0"/>
              <w:spacing w:line="360" w:lineRule="auto"/>
              <w:outlineLvl w:val="0"/>
              <w:rPr>
                <w:rFonts w:hint="default" w:ascii="Times New Roman" w:hAnsi="Times New Roman" w:eastAsia="宋体"/>
                <w:bCs/>
                <w:sz w:val="24"/>
                <w:szCs w:val="24"/>
              </w:rPr>
            </w:pPr>
            <w:r>
              <w:rPr>
                <w:rFonts w:hint="default" w:ascii="Times New Roman" w:hAnsi="Times New Roman" w:eastAsia="宋体"/>
                <w:bCs/>
                <w:sz w:val="24"/>
                <w:szCs w:val="24"/>
              </w:rPr>
              <w:t>1、数据收集</w:t>
            </w:r>
          </w:p>
          <w:p>
            <w:pPr>
              <w:numPr>
                <w:ilvl w:val="255"/>
                <w:numId w:val="0"/>
              </w:numPr>
              <w:snapToGrid w:val="0"/>
              <w:spacing w:line="360" w:lineRule="auto"/>
              <w:ind w:firstLine="480" w:firstLineChars="200"/>
              <w:outlineLvl w:val="0"/>
              <w:rPr>
                <w:rFonts w:hint="default" w:ascii="Times New Roman" w:hAnsi="Times New Roman" w:eastAsia="宋体"/>
                <w:bCs/>
                <w:sz w:val="24"/>
                <w:szCs w:val="24"/>
              </w:rPr>
            </w:pPr>
            <w:r>
              <w:rPr>
                <w:rFonts w:ascii="Times New Roman" w:hAnsi="Times New Roman" w:eastAsia="宋体"/>
                <w:bCs/>
                <w:sz w:val="24"/>
                <w:szCs w:val="24"/>
              </w:rPr>
              <w:t>收集待评估耕地的气象数据，具体包括降水量数据与温度数据；获取数字高程数据；实地采样获取土壤数据，具体包括有效土层厚度、土壤有机质含量、土壤养分状况、土壤质地、障碍因素、土壤容重、耕层厚度、黑土层厚度、</w:t>
            </w:r>
            <w:r>
              <w:rPr>
                <w:rFonts w:hint="default" w:ascii="Times New Roman" w:hAnsi="Times New Roman" w:eastAsia="宋体"/>
                <w:bCs/>
                <w:sz w:val="24"/>
                <w:szCs w:val="24"/>
              </w:rPr>
              <w:t>pH值、电导率、土体构型、含水量、全氮、有效磷、速效钾、水土保持系数；收集人文指标数据，具体包括耕地投入、灌溉与连片度。通过上述多元大数据输入，本案解决了影响因子考虑单一问题。</w:t>
            </w:r>
          </w:p>
          <w:p>
            <w:pPr>
              <w:numPr>
                <w:ilvl w:val="255"/>
                <w:numId w:val="0"/>
              </w:numPr>
              <w:snapToGrid w:val="0"/>
              <w:spacing w:line="360" w:lineRule="auto"/>
              <w:outlineLvl w:val="0"/>
              <w:rPr>
                <w:rFonts w:hint="default" w:ascii="Times New Roman" w:hAnsi="Times New Roman" w:eastAsia="宋体"/>
                <w:bCs/>
                <w:sz w:val="24"/>
                <w:szCs w:val="24"/>
              </w:rPr>
            </w:pPr>
            <w:r>
              <w:rPr>
                <w:rFonts w:hint="default" w:ascii="Times New Roman" w:hAnsi="Times New Roman" w:eastAsia="宋体"/>
                <w:bCs/>
                <w:sz w:val="24"/>
                <w:szCs w:val="24"/>
              </w:rPr>
              <w:t>2、模型训练</w:t>
            </w:r>
          </w:p>
          <w:p>
            <w:pPr>
              <w:numPr>
                <w:ilvl w:val="255"/>
                <w:numId w:val="0"/>
              </w:numPr>
              <w:snapToGrid w:val="0"/>
              <w:spacing w:line="360" w:lineRule="auto"/>
              <w:outlineLvl w:val="0"/>
              <w:rPr>
                <w:rFonts w:hint="default" w:ascii="Times New Roman" w:hAnsi="Times New Roman" w:eastAsia="宋体"/>
                <w:bCs/>
                <w:sz w:val="24"/>
                <w:szCs w:val="24"/>
              </w:rPr>
            </w:pPr>
            <w:r>
              <w:rPr>
                <w:rFonts w:ascii="Times New Roman" w:hAnsi="Times New Roman" w:eastAsia="宋体"/>
                <w:bCs/>
                <w:sz w:val="24"/>
                <w:szCs w:val="24"/>
              </w:rPr>
              <w:t>（</w:t>
            </w:r>
            <w:r>
              <w:rPr>
                <w:rFonts w:hint="default" w:ascii="Times New Roman" w:hAnsi="Times New Roman" w:eastAsia="宋体"/>
                <w:bCs/>
                <w:sz w:val="24"/>
                <w:szCs w:val="24"/>
              </w:rPr>
              <w:t>1）构建耕地质量演变预测模型</w:t>
            </w:r>
          </w:p>
          <w:p>
            <w:pPr>
              <w:numPr>
                <w:ilvl w:val="255"/>
                <w:numId w:val="0"/>
              </w:numPr>
              <w:snapToGrid w:val="0"/>
              <w:spacing w:line="360" w:lineRule="auto"/>
              <w:outlineLvl w:val="0"/>
              <w:rPr>
                <w:rFonts w:hint="default" w:ascii="Times New Roman" w:hAnsi="Times New Roman" w:eastAsia="宋体"/>
                <w:bCs/>
                <w:sz w:val="24"/>
                <w:szCs w:val="24"/>
              </w:rPr>
            </w:pPr>
            <w:r>
              <w:rPr>
                <w:rFonts w:hint="default" w:ascii="Times New Roman" w:hAnsi="Times New Roman" w:eastAsia="宋体"/>
                <w:bCs/>
                <w:sz w:val="24"/>
                <w:szCs w:val="24"/>
              </w:rPr>
              <w:t>1）数据处理</w:t>
            </w:r>
          </w:p>
          <w:p>
            <w:pPr>
              <w:numPr>
                <w:ilvl w:val="255"/>
                <w:numId w:val="0"/>
              </w:numPr>
              <w:snapToGrid w:val="0"/>
              <w:spacing w:line="360" w:lineRule="auto"/>
              <w:ind w:firstLine="480" w:firstLineChars="200"/>
              <w:outlineLvl w:val="0"/>
              <w:rPr>
                <w:rFonts w:hint="default" w:ascii="Times New Roman" w:hAnsi="Times New Roman" w:eastAsia="宋体"/>
                <w:bCs/>
                <w:sz w:val="24"/>
                <w:szCs w:val="24"/>
              </w:rPr>
            </w:pPr>
            <w:r>
              <w:rPr>
                <w:rFonts w:ascii="Times New Roman" w:hAnsi="Times New Roman" w:eastAsia="宋体"/>
                <w:bCs/>
                <w:sz w:val="24"/>
                <w:szCs w:val="24"/>
              </w:rPr>
              <w:t>针对待预测耕地，将所述所有数据进行预处理，包括缺失值处理、异常值检测和处理等，确保数据的质量和完整性，而后按照时序转换为矩阵。</w:t>
            </w:r>
          </w:p>
          <w:p>
            <w:pPr>
              <w:numPr>
                <w:ilvl w:val="255"/>
                <w:numId w:val="0"/>
              </w:numPr>
              <w:snapToGrid w:val="0"/>
              <w:spacing w:line="360" w:lineRule="auto"/>
              <w:outlineLvl w:val="0"/>
              <w:rPr>
                <w:rFonts w:hint="default" w:ascii="Times New Roman" w:hAnsi="Times New Roman" w:eastAsia="宋体"/>
                <w:bCs/>
                <w:sz w:val="24"/>
                <w:szCs w:val="24"/>
              </w:rPr>
            </w:pPr>
            <w:r>
              <w:rPr>
                <w:rFonts w:hint="default" w:ascii="Times New Roman" w:hAnsi="Times New Roman" w:eastAsia="宋体"/>
                <w:bCs/>
                <w:sz w:val="24"/>
                <w:szCs w:val="24"/>
              </w:rPr>
              <w:t>2）神经网络模型</w:t>
            </w:r>
          </w:p>
          <w:p>
            <w:pPr>
              <w:numPr>
                <w:ilvl w:val="255"/>
                <w:numId w:val="0"/>
              </w:numPr>
              <w:snapToGrid w:val="0"/>
              <w:spacing w:line="360" w:lineRule="auto"/>
              <w:ind w:firstLine="480" w:firstLineChars="200"/>
              <w:outlineLvl w:val="0"/>
              <w:rPr>
                <w:rFonts w:hint="default" w:ascii="Times New Roman" w:hAnsi="Times New Roman" w:eastAsia="宋体"/>
                <w:bCs/>
                <w:sz w:val="24"/>
                <w:szCs w:val="24"/>
              </w:rPr>
            </w:pPr>
            <w:r>
              <w:rPr>
                <w:rFonts w:ascii="Times New Roman" w:hAnsi="Times New Roman" w:eastAsia="宋体"/>
                <w:bCs/>
                <w:sz w:val="24"/>
                <w:szCs w:val="24"/>
              </w:rPr>
              <w:t>本案耕地质量演变预测模型为基于长短期记忆神经网络模型（</w:t>
            </w:r>
            <w:r>
              <w:rPr>
                <w:rFonts w:hint="default" w:ascii="Times New Roman" w:hAnsi="Times New Roman" w:eastAsia="宋体"/>
                <w:bCs/>
                <w:sz w:val="24"/>
                <w:szCs w:val="24"/>
              </w:rPr>
              <w:t>LSTM）重构近实时预测模型，是根据多要素联网观测获取的大数据进行训练得到的。通过采用该模型（LSTM），能够解决耕地质量评估方法传统以及动态监测缺乏的问题。</w:t>
            </w:r>
          </w:p>
          <w:p>
            <w:pPr>
              <w:numPr>
                <w:ilvl w:val="255"/>
                <w:numId w:val="0"/>
              </w:numPr>
              <w:snapToGrid w:val="0"/>
              <w:spacing w:line="360" w:lineRule="auto"/>
              <w:outlineLvl w:val="0"/>
              <w:rPr>
                <w:rFonts w:hint="default" w:ascii="Times New Roman" w:hAnsi="Times New Roman" w:eastAsia="宋体"/>
                <w:bCs/>
                <w:sz w:val="24"/>
                <w:szCs w:val="24"/>
              </w:rPr>
            </w:pPr>
            <w:r>
              <w:rPr>
                <w:rFonts w:ascii="Times New Roman" w:hAnsi="Times New Roman" w:eastAsia="宋体"/>
                <w:bCs/>
                <w:sz w:val="24"/>
                <w:szCs w:val="24"/>
              </w:rPr>
              <w:t>①特征提取层</w:t>
            </w:r>
          </w:p>
          <w:p>
            <w:pPr>
              <w:numPr>
                <w:ilvl w:val="255"/>
                <w:numId w:val="0"/>
              </w:numPr>
              <w:snapToGrid w:val="0"/>
              <w:spacing w:line="360" w:lineRule="auto"/>
              <w:ind w:firstLine="480" w:firstLineChars="200"/>
              <w:outlineLvl w:val="0"/>
              <w:rPr>
                <w:rFonts w:hint="default" w:ascii="Times New Roman" w:hAnsi="Times New Roman" w:eastAsia="宋体"/>
                <w:bCs/>
                <w:sz w:val="24"/>
                <w:szCs w:val="24"/>
              </w:rPr>
            </w:pPr>
            <w:r>
              <w:rPr>
                <w:rFonts w:ascii="Times New Roman" w:hAnsi="Times New Roman" w:eastAsia="宋体"/>
                <w:bCs/>
                <w:sz w:val="24"/>
                <w:szCs w:val="24"/>
              </w:rPr>
              <w:t>将关键限制因子数据输入特征提取层（卷积层），将数据转换为更具代表性和高层次抽象的特征表示，输出关键限制因子数据的特征信息。</w:t>
            </w:r>
          </w:p>
          <w:p>
            <w:pPr>
              <w:numPr>
                <w:ilvl w:val="255"/>
                <w:numId w:val="0"/>
              </w:numPr>
              <w:snapToGrid w:val="0"/>
              <w:spacing w:line="360" w:lineRule="auto"/>
              <w:outlineLvl w:val="0"/>
              <w:rPr>
                <w:rFonts w:hint="default" w:ascii="Times New Roman" w:hAnsi="Times New Roman" w:eastAsia="宋体"/>
                <w:bCs/>
                <w:sz w:val="24"/>
                <w:szCs w:val="24"/>
              </w:rPr>
            </w:pPr>
            <w:r>
              <w:rPr>
                <w:rFonts w:ascii="Times New Roman" w:hAnsi="Times New Roman" w:eastAsia="宋体"/>
                <w:bCs/>
                <w:sz w:val="24"/>
                <w:szCs w:val="24"/>
              </w:rPr>
              <w:t>②</w:t>
            </w:r>
            <w:r>
              <w:rPr>
                <w:rFonts w:hint="default" w:ascii="Times New Roman" w:hAnsi="Times New Roman" w:eastAsia="宋体"/>
                <w:bCs/>
                <w:sz w:val="24"/>
                <w:szCs w:val="24"/>
              </w:rPr>
              <w:t>LSTM层</w:t>
            </w:r>
          </w:p>
          <w:p>
            <w:pPr>
              <w:numPr>
                <w:ilvl w:val="255"/>
                <w:numId w:val="0"/>
              </w:numPr>
              <w:snapToGrid w:val="0"/>
              <w:spacing w:line="360" w:lineRule="auto"/>
              <w:ind w:firstLine="480" w:firstLineChars="200"/>
              <w:outlineLvl w:val="0"/>
              <w:rPr>
                <w:rFonts w:hint="default" w:ascii="Times New Roman" w:hAnsi="Times New Roman" w:eastAsia="宋体"/>
                <w:bCs/>
                <w:sz w:val="24"/>
                <w:szCs w:val="24"/>
              </w:rPr>
            </w:pPr>
            <w:r>
              <w:rPr>
                <w:rFonts w:ascii="Times New Roman" w:hAnsi="Times New Roman" w:eastAsia="宋体"/>
                <w:bCs/>
                <w:sz w:val="24"/>
                <w:szCs w:val="24"/>
              </w:rPr>
              <w:t>将特征提取层提取出的特征信息输入</w:t>
            </w:r>
            <w:r>
              <w:rPr>
                <w:rFonts w:hint="default" w:ascii="Times New Roman" w:hAnsi="Times New Roman" w:eastAsia="宋体"/>
                <w:bCs/>
                <w:sz w:val="24"/>
                <w:szCs w:val="24"/>
              </w:rPr>
              <w:t>LSTM层，输出带有长期依赖关系的特征信息。</w:t>
            </w:r>
          </w:p>
          <w:p>
            <w:pPr>
              <w:numPr>
                <w:ilvl w:val="255"/>
                <w:numId w:val="0"/>
              </w:numPr>
              <w:snapToGrid w:val="0"/>
              <w:spacing w:line="360" w:lineRule="auto"/>
              <w:outlineLvl w:val="0"/>
              <w:rPr>
                <w:rFonts w:hint="default" w:ascii="Times New Roman" w:hAnsi="Times New Roman" w:eastAsia="宋体"/>
                <w:bCs/>
                <w:sz w:val="24"/>
                <w:szCs w:val="24"/>
              </w:rPr>
            </w:pPr>
            <w:r>
              <w:rPr>
                <w:rFonts w:hint="default" w:ascii="Times New Roman" w:hAnsi="Times New Roman" w:eastAsia="宋体"/>
                <w:bCs/>
                <w:sz w:val="24"/>
                <w:szCs w:val="24"/>
              </w:rPr>
              <w:t>a. 输入门</w:t>
            </w:r>
          </w:p>
          <w:p>
            <w:pPr>
              <w:numPr>
                <w:ilvl w:val="255"/>
                <w:numId w:val="0"/>
              </w:numPr>
              <w:snapToGrid w:val="0"/>
              <w:spacing w:line="360" w:lineRule="auto"/>
              <w:ind w:firstLine="480" w:firstLineChars="200"/>
              <w:outlineLvl w:val="0"/>
              <w:rPr>
                <w:rFonts w:hint="default" w:ascii="Times New Roman" w:hAnsi="Times New Roman" w:eastAsia="宋体"/>
                <w:bCs/>
                <w:sz w:val="24"/>
                <w:szCs w:val="24"/>
              </w:rPr>
            </w:pPr>
            <w:r>
              <w:rPr>
                <w:rFonts w:ascii="Times New Roman" w:hAnsi="Times New Roman" w:eastAsia="宋体"/>
                <w:bCs/>
                <w:sz w:val="24"/>
                <w:szCs w:val="24"/>
              </w:rPr>
              <w:t>输入门控制着当前时间步的输入信息对细胞状态的影响。它由一个</w:t>
            </w:r>
            <w:r>
              <w:rPr>
                <w:rFonts w:hint="default" w:ascii="Times New Roman" w:hAnsi="Times New Roman" w:eastAsia="宋体"/>
                <w:bCs/>
                <w:sz w:val="24"/>
                <w:szCs w:val="24"/>
              </w:rPr>
              <w:t>sigmoid激活函数和一个点乘操作组成，将特征信息和前一时刻的记忆细胞状态输入到输入门，添加当前时刻输入数据中有多少信息需要被添加到记忆细胞状态中，确定哪些信息将被加入到细胞状态中。</w:t>
            </w:r>
          </w:p>
          <w:p>
            <w:pPr>
              <w:numPr>
                <w:ilvl w:val="255"/>
                <w:numId w:val="0"/>
              </w:numPr>
              <w:snapToGrid w:val="0"/>
              <w:spacing w:line="360" w:lineRule="auto"/>
              <w:outlineLvl w:val="0"/>
              <w:rPr>
                <w:rFonts w:hint="default" w:ascii="Times New Roman" w:hAnsi="Times New Roman" w:eastAsia="宋体"/>
                <w:bCs/>
                <w:sz w:val="24"/>
                <w:szCs w:val="24"/>
              </w:rPr>
            </w:pPr>
            <w:r>
              <w:rPr>
                <w:rFonts w:hint="default" w:ascii="Times New Roman" w:hAnsi="Times New Roman" w:eastAsia="宋体"/>
                <w:bCs/>
                <w:sz w:val="24"/>
                <w:szCs w:val="24"/>
              </w:rPr>
              <w:t>b. 遗忘门</w:t>
            </w:r>
          </w:p>
          <w:p>
            <w:pPr>
              <w:numPr>
                <w:ilvl w:val="255"/>
                <w:numId w:val="0"/>
              </w:numPr>
              <w:snapToGrid w:val="0"/>
              <w:spacing w:line="360" w:lineRule="auto"/>
              <w:ind w:firstLine="480" w:firstLineChars="200"/>
              <w:outlineLvl w:val="0"/>
              <w:rPr>
                <w:rFonts w:hint="default" w:ascii="Times New Roman" w:hAnsi="Times New Roman" w:eastAsia="宋体"/>
                <w:bCs/>
                <w:sz w:val="24"/>
                <w:szCs w:val="24"/>
              </w:rPr>
            </w:pPr>
            <w:r>
              <w:rPr>
                <w:rFonts w:ascii="Times New Roman" w:hAnsi="Times New Roman" w:eastAsia="宋体"/>
                <w:bCs/>
                <w:sz w:val="24"/>
                <w:szCs w:val="24"/>
              </w:rPr>
              <w:t>遗忘门决定了细胞状态中哪些信息将被保留，哪些信息将被遗忘。它由一个</w:t>
            </w:r>
            <w:r>
              <w:rPr>
                <w:rFonts w:hint="default" w:ascii="Times New Roman" w:hAnsi="Times New Roman" w:eastAsia="宋体"/>
                <w:bCs/>
                <w:sz w:val="24"/>
                <w:szCs w:val="24"/>
              </w:rPr>
              <w:t>sigmoid激活函数和一个点乘操作组成，将特征信息和前一时刻的记忆细胞状态输入到遗忘门，添加对前一时刻记忆细胞状态的遗忘程度，控制上一个时间步细胞状态的记忆程度。</w:t>
            </w:r>
          </w:p>
          <w:p>
            <w:pPr>
              <w:numPr>
                <w:ilvl w:val="255"/>
                <w:numId w:val="0"/>
              </w:numPr>
              <w:snapToGrid w:val="0"/>
              <w:spacing w:line="360" w:lineRule="auto"/>
              <w:outlineLvl w:val="0"/>
              <w:rPr>
                <w:rFonts w:hint="default" w:ascii="Times New Roman" w:hAnsi="Times New Roman" w:eastAsia="宋体"/>
                <w:bCs/>
                <w:sz w:val="24"/>
                <w:szCs w:val="24"/>
              </w:rPr>
            </w:pPr>
            <w:r>
              <w:rPr>
                <w:rFonts w:hint="default" w:ascii="Times New Roman" w:hAnsi="Times New Roman" w:eastAsia="宋体"/>
                <w:bCs/>
                <w:sz w:val="24"/>
                <w:szCs w:val="24"/>
              </w:rPr>
              <w:t>c. 输出门</w:t>
            </w:r>
          </w:p>
          <w:p>
            <w:pPr>
              <w:numPr>
                <w:ilvl w:val="255"/>
                <w:numId w:val="0"/>
              </w:numPr>
              <w:snapToGrid w:val="0"/>
              <w:spacing w:line="360" w:lineRule="auto"/>
              <w:ind w:firstLine="480" w:firstLineChars="200"/>
              <w:outlineLvl w:val="0"/>
              <w:rPr>
                <w:rFonts w:hint="default" w:ascii="Times New Roman" w:hAnsi="Times New Roman" w:eastAsia="宋体"/>
                <w:bCs/>
                <w:sz w:val="24"/>
                <w:szCs w:val="24"/>
              </w:rPr>
            </w:pPr>
            <w:r>
              <w:rPr>
                <w:rFonts w:ascii="Times New Roman" w:hAnsi="Times New Roman" w:eastAsia="宋体"/>
                <w:bCs/>
                <w:sz w:val="24"/>
                <w:szCs w:val="24"/>
              </w:rPr>
              <w:t>输出门根据当前时间步的输入和前一个时间步的隐藏状态来决定当前时间步的隐藏状态和输出。它由一个</w:t>
            </w:r>
            <w:r>
              <w:rPr>
                <w:rFonts w:hint="default" w:ascii="Times New Roman" w:hAnsi="Times New Roman" w:eastAsia="宋体"/>
                <w:bCs/>
                <w:sz w:val="24"/>
                <w:szCs w:val="24"/>
              </w:rPr>
              <w:t>sigmoid激活函数和一个点乘操作组成，将特征信息和前一时刻的记忆细胞状态输入到输出门，添加当前时刻记忆细胞状态中有多少信息需要输出到隐藏状态，控制细胞状态对当前时间步隐藏状态的影响程度。</w:t>
            </w:r>
          </w:p>
          <w:p>
            <w:pPr>
              <w:numPr>
                <w:ilvl w:val="255"/>
                <w:numId w:val="0"/>
              </w:numPr>
              <w:snapToGrid w:val="0"/>
              <w:spacing w:line="360" w:lineRule="auto"/>
              <w:outlineLvl w:val="0"/>
              <w:rPr>
                <w:rFonts w:hint="default" w:ascii="Times New Roman" w:hAnsi="Times New Roman" w:eastAsia="宋体"/>
                <w:bCs/>
                <w:sz w:val="24"/>
                <w:szCs w:val="24"/>
              </w:rPr>
            </w:pPr>
            <w:r>
              <w:rPr>
                <w:rFonts w:ascii="Times New Roman" w:hAnsi="Times New Roman" w:eastAsia="宋体"/>
                <w:bCs/>
                <w:sz w:val="24"/>
                <w:szCs w:val="24"/>
              </w:rPr>
              <w:t>③全连接层</w:t>
            </w:r>
          </w:p>
          <w:p>
            <w:pPr>
              <w:numPr>
                <w:ilvl w:val="255"/>
                <w:numId w:val="0"/>
              </w:numPr>
              <w:snapToGrid w:val="0"/>
              <w:spacing w:line="360" w:lineRule="auto"/>
              <w:ind w:firstLine="480" w:firstLineChars="200"/>
              <w:outlineLvl w:val="0"/>
              <w:rPr>
                <w:rFonts w:hint="default" w:ascii="Times New Roman" w:hAnsi="Times New Roman" w:eastAsia="宋体"/>
                <w:bCs/>
                <w:sz w:val="24"/>
                <w:szCs w:val="24"/>
              </w:rPr>
            </w:pPr>
            <w:r>
              <w:rPr>
                <w:rFonts w:ascii="Times New Roman" w:hAnsi="Times New Roman" w:eastAsia="宋体"/>
                <w:bCs/>
                <w:sz w:val="24"/>
                <w:szCs w:val="24"/>
              </w:rPr>
              <w:t>将带有长期依赖关系的特征信息输入，对输入进行线性变化，即权重矩阵相乘，并添加上偏置向量；将所述线性变化结果通过激活函数进行处理，输出耕地质量的评估结果。</w:t>
            </w:r>
          </w:p>
          <w:p>
            <w:pPr>
              <w:numPr>
                <w:ilvl w:val="255"/>
                <w:numId w:val="0"/>
              </w:numPr>
              <w:snapToGrid w:val="0"/>
              <w:spacing w:line="360" w:lineRule="auto"/>
              <w:outlineLvl w:val="0"/>
              <w:rPr>
                <w:rFonts w:hint="default" w:ascii="Times New Roman" w:hAnsi="Times New Roman" w:eastAsia="宋体"/>
                <w:bCs/>
                <w:sz w:val="24"/>
                <w:szCs w:val="24"/>
              </w:rPr>
            </w:pPr>
            <w:r>
              <w:rPr>
                <w:rFonts w:ascii="Times New Roman" w:hAnsi="Times New Roman" w:eastAsia="宋体"/>
                <w:bCs/>
                <w:sz w:val="24"/>
                <w:szCs w:val="24"/>
              </w:rPr>
              <w:t>（</w:t>
            </w:r>
            <w:r>
              <w:rPr>
                <w:rFonts w:hint="default" w:ascii="Times New Roman" w:hAnsi="Times New Roman" w:eastAsia="宋体"/>
                <w:bCs/>
                <w:sz w:val="24"/>
                <w:szCs w:val="24"/>
              </w:rPr>
              <w:t>2）模型训练</w:t>
            </w:r>
          </w:p>
          <w:p>
            <w:pPr>
              <w:numPr>
                <w:ilvl w:val="255"/>
                <w:numId w:val="0"/>
              </w:numPr>
              <w:snapToGrid w:val="0"/>
              <w:spacing w:line="360" w:lineRule="auto"/>
              <w:ind w:firstLine="480" w:firstLineChars="200"/>
              <w:outlineLvl w:val="0"/>
              <w:rPr>
                <w:rFonts w:hint="default" w:ascii="Times New Roman" w:hAnsi="Times New Roman" w:eastAsia="宋体"/>
                <w:bCs/>
                <w:sz w:val="24"/>
                <w:szCs w:val="24"/>
              </w:rPr>
            </w:pPr>
            <w:r>
              <w:rPr>
                <w:rFonts w:ascii="Times New Roman" w:hAnsi="Times New Roman" w:eastAsia="宋体"/>
                <w:bCs/>
                <w:sz w:val="24"/>
                <w:szCs w:val="24"/>
              </w:rPr>
              <w:t>选择样本集</w:t>
            </w:r>
            <w:r>
              <w:rPr>
                <w:rFonts w:hint="default" w:ascii="Times New Roman" w:hAnsi="Times New Roman" w:eastAsia="宋体"/>
                <w:bCs/>
                <w:sz w:val="24"/>
                <w:szCs w:val="24"/>
              </w:rPr>
              <w:t>60%数据作为训练数据，20%数据作为验证数据，20%作为测试数据，进行模型训练得到耕地质量演变预测模型。</w:t>
            </w:r>
          </w:p>
          <w:p>
            <w:pPr>
              <w:numPr>
                <w:ilvl w:val="255"/>
                <w:numId w:val="0"/>
              </w:numPr>
              <w:snapToGrid w:val="0"/>
              <w:spacing w:line="360" w:lineRule="auto"/>
              <w:outlineLvl w:val="0"/>
              <w:rPr>
                <w:rFonts w:hint="default" w:ascii="Times New Roman" w:hAnsi="Times New Roman" w:eastAsia="宋体"/>
                <w:bCs/>
                <w:sz w:val="24"/>
                <w:szCs w:val="24"/>
              </w:rPr>
            </w:pPr>
            <w:r>
              <w:rPr>
                <w:rFonts w:hint="default" w:ascii="Times New Roman" w:hAnsi="Times New Roman" w:eastAsia="宋体"/>
                <w:bCs/>
                <w:sz w:val="24"/>
                <w:szCs w:val="24"/>
              </w:rPr>
              <w:t>3、模型评估</w:t>
            </w:r>
          </w:p>
          <w:p>
            <w:pPr>
              <w:numPr>
                <w:ilvl w:val="255"/>
                <w:numId w:val="0"/>
              </w:numPr>
              <w:snapToGrid w:val="0"/>
              <w:spacing w:line="360" w:lineRule="auto"/>
              <w:outlineLvl w:val="0"/>
              <w:rPr>
                <w:rFonts w:hint="default" w:ascii="Times New Roman" w:hAnsi="Times New Roman" w:eastAsia="宋体"/>
                <w:bCs/>
                <w:sz w:val="24"/>
                <w:szCs w:val="24"/>
              </w:rPr>
            </w:pPr>
            <w:r>
              <w:rPr>
                <w:rFonts w:ascii="Times New Roman" w:hAnsi="Times New Roman" w:eastAsia="宋体"/>
                <w:bCs/>
                <w:sz w:val="24"/>
                <w:szCs w:val="24"/>
              </w:rPr>
              <w:t>（</w:t>
            </w:r>
            <w:r>
              <w:rPr>
                <w:rFonts w:hint="default" w:ascii="Times New Roman" w:hAnsi="Times New Roman" w:eastAsia="宋体"/>
                <w:bCs/>
                <w:sz w:val="24"/>
                <w:szCs w:val="24"/>
              </w:rPr>
              <w:t>1）数据收集与处理</w:t>
            </w:r>
          </w:p>
          <w:p>
            <w:pPr>
              <w:numPr>
                <w:ilvl w:val="255"/>
                <w:numId w:val="0"/>
              </w:numPr>
              <w:snapToGrid w:val="0"/>
              <w:spacing w:line="360" w:lineRule="auto"/>
              <w:ind w:firstLine="480" w:firstLineChars="200"/>
              <w:outlineLvl w:val="0"/>
              <w:rPr>
                <w:rFonts w:hint="default" w:ascii="Times New Roman" w:hAnsi="Times New Roman" w:eastAsia="宋体"/>
                <w:bCs/>
                <w:sz w:val="24"/>
                <w:szCs w:val="24"/>
              </w:rPr>
            </w:pPr>
            <w:r>
              <w:rPr>
                <w:rFonts w:ascii="Times New Roman" w:hAnsi="Times New Roman" w:eastAsia="宋体"/>
                <w:bCs/>
                <w:sz w:val="24"/>
                <w:szCs w:val="24"/>
              </w:rPr>
              <w:t>收集待评估耕地的气象数据，具体包括降水量数据与温度数据；获取数字高程数据；实地采样获取土壤数据，具体包括有效土层厚度、土壤有机质含量、土壤养分状况、土壤质地、障碍因素、土壤容重、耕层厚度、黑土层厚度、</w:t>
            </w:r>
            <w:r>
              <w:rPr>
                <w:rFonts w:hint="default" w:ascii="Times New Roman" w:hAnsi="Times New Roman" w:eastAsia="宋体"/>
                <w:bCs/>
                <w:sz w:val="24"/>
                <w:szCs w:val="24"/>
              </w:rPr>
              <w:t>pH值、电导率、土体构型、含水量、全氮、有效磷、速效钾、水土保持系数；收集人文指标数据，具体包括耕地投入、灌溉与连片度。将所述所有数据进行预处理，包括缺失值处理、异常值检测和处理等，确保数据的质量和完整性，而后按照时序转换为矩阵。</w:t>
            </w:r>
          </w:p>
          <w:p>
            <w:pPr>
              <w:numPr>
                <w:ilvl w:val="255"/>
                <w:numId w:val="0"/>
              </w:numPr>
              <w:snapToGrid w:val="0"/>
              <w:spacing w:line="360" w:lineRule="auto"/>
              <w:outlineLvl w:val="0"/>
              <w:rPr>
                <w:rFonts w:hint="default" w:ascii="Times New Roman" w:hAnsi="Times New Roman" w:eastAsia="宋体"/>
                <w:bCs/>
                <w:sz w:val="24"/>
                <w:szCs w:val="24"/>
              </w:rPr>
            </w:pPr>
            <w:r>
              <w:rPr>
                <w:rFonts w:ascii="Times New Roman" w:hAnsi="Times New Roman" w:eastAsia="宋体"/>
                <w:bCs/>
                <w:sz w:val="24"/>
                <w:szCs w:val="24"/>
              </w:rPr>
              <w:t>（</w:t>
            </w:r>
            <w:r>
              <w:rPr>
                <w:rFonts w:hint="default" w:ascii="Times New Roman" w:hAnsi="Times New Roman" w:eastAsia="宋体"/>
                <w:bCs/>
                <w:sz w:val="24"/>
                <w:szCs w:val="24"/>
              </w:rPr>
              <w:t>2）模型预测</w:t>
            </w:r>
          </w:p>
          <w:p>
            <w:pPr>
              <w:numPr>
                <w:ilvl w:val="255"/>
                <w:numId w:val="0"/>
              </w:numPr>
              <w:snapToGrid w:val="0"/>
              <w:spacing w:line="360" w:lineRule="auto"/>
              <w:ind w:firstLine="480" w:firstLineChars="200"/>
              <w:outlineLvl w:val="0"/>
              <w:rPr>
                <w:rFonts w:hint="default" w:ascii="Times New Roman" w:hAnsi="Times New Roman" w:eastAsia="宋体"/>
                <w:bCs/>
                <w:sz w:val="24"/>
                <w:szCs w:val="24"/>
              </w:rPr>
            </w:pPr>
            <w:r>
              <w:rPr>
                <w:rFonts w:ascii="Times New Roman" w:hAnsi="Times New Roman" w:eastAsia="宋体"/>
                <w:bCs/>
                <w:sz w:val="24"/>
                <w:szCs w:val="24"/>
              </w:rPr>
              <w:t>依次将数据输入耕地质量演变预测模型，输出对应耕地质量预测结果。</w:t>
            </w:r>
          </w:p>
          <w:p>
            <w:pPr>
              <w:numPr>
                <w:ilvl w:val="255"/>
                <w:numId w:val="0"/>
              </w:numPr>
              <w:snapToGrid w:val="0"/>
              <w:spacing w:line="360" w:lineRule="auto"/>
              <w:outlineLvl w:val="0"/>
              <w:rPr>
                <w:rFonts w:hint="default" w:ascii="Times New Roman" w:hAnsi="Times New Roman" w:eastAsia="宋体"/>
                <w:bCs/>
                <w:sz w:val="24"/>
                <w:szCs w:val="24"/>
              </w:rPr>
            </w:pPr>
            <w:r>
              <w:rPr>
                <w:rFonts w:ascii="Times New Roman" w:hAnsi="Times New Roman" w:eastAsia="宋体"/>
                <w:bCs/>
                <w:sz w:val="24"/>
                <w:szCs w:val="24"/>
              </w:rPr>
              <w:t>（</w:t>
            </w:r>
            <w:r>
              <w:rPr>
                <w:rFonts w:hint="default" w:ascii="Times New Roman" w:hAnsi="Times New Roman" w:eastAsia="宋体"/>
                <w:bCs/>
                <w:sz w:val="24"/>
                <w:szCs w:val="24"/>
              </w:rPr>
              <w:t>3）评估结果</w:t>
            </w:r>
          </w:p>
          <w:p>
            <w:pPr>
              <w:numPr>
                <w:ilvl w:val="255"/>
                <w:numId w:val="0"/>
              </w:numPr>
              <w:snapToGrid w:val="0"/>
              <w:spacing w:line="360" w:lineRule="auto"/>
              <w:ind w:firstLine="480" w:firstLineChars="200"/>
              <w:outlineLvl w:val="0"/>
              <w:rPr>
                <w:rFonts w:hint="default" w:ascii="Times New Roman" w:hAnsi="Times New Roman" w:eastAsia="宋体"/>
                <w:bCs/>
                <w:sz w:val="24"/>
                <w:szCs w:val="24"/>
              </w:rPr>
            </w:pPr>
            <w:r>
              <w:rPr>
                <w:rFonts w:ascii="Times New Roman" w:hAnsi="Times New Roman" w:eastAsia="宋体"/>
                <w:bCs/>
                <w:sz w:val="24"/>
                <w:szCs w:val="24"/>
              </w:rPr>
              <w:t>采用各种评估指标，如均方误差（</w:t>
            </w:r>
            <w:r>
              <w:rPr>
                <w:rFonts w:hint="default" w:ascii="Times New Roman" w:hAnsi="Times New Roman" w:eastAsia="宋体"/>
                <w:bCs/>
                <w:sz w:val="24"/>
                <w:szCs w:val="24"/>
              </w:rPr>
              <w:t>Mean Squared Error, MSE）、均方根误差（Root Mean Squared Error, RMSE）等来评估模型的预测性能。结果较优，则进入（4）；若结果较差，根据评估结果进行优化和调整后，再次返回（2），直到结果较好，进行输出结果可视化。</w:t>
            </w:r>
          </w:p>
          <w:p>
            <w:pPr>
              <w:numPr>
                <w:ilvl w:val="255"/>
                <w:numId w:val="0"/>
              </w:numPr>
              <w:snapToGrid w:val="0"/>
              <w:spacing w:line="360" w:lineRule="auto"/>
              <w:outlineLvl w:val="0"/>
              <w:rPr>
                <w:rFonts w:hint="default" w:ascii="Times New Roman" w:hAnsi="Times New Roman" w:eastAsia="宋体"/>
                <w:bCs/>
                <w:sz w:val="24"/>
                <w:szCs w:val="24"/>
              </w:rPr>
            </w:pPr>
            <w:r>
              <w:rPr>
                <w:rFonts w:ascii="Times New Roman" w:hAnsi="Times New Roman" w:eastAsia="宋体"/>
                <w:bCs/>
                <w:sz w:val="24"/>
                <w:szCs w:val="24"/>
              </w:rPr>
              <w:t>（</w:t>
            </w:r>
            <w:r>
              <w:rPr>
                <w:rFonts w:hint="default" w:ascii="Times New Roman" w:hAnsi="Times New Roman" w:eastAsia="宋体"/>
                <w:bCs/>
                <w:sz w:val="24"/>
                <w:szCs w:val="24"/>
              </w:rPr>
              <w:t>4）结果解释与可视化</w:t>
            </w:r>
          </w:p>
          <w:p>
            <w:pPr>
              <w:numPr>
                <w:ilvl w:val="255"/>
                <w:numId w:val="0"/>
              </w:numPr>
              <w:snapToGrid w:val="0"/>
              <w:spacing w:line="360" w:lineRule="auto"/>
              <w:ind w:firstLine="480" w:firstLineChars="200"/>
              <w:outlineLvl w:val="0"/>
              <w:rPr>
                <w:rFonts w:hint="default" w:ascii="Times New Roman" w:hAnsi="Times New Roman" w:eastAsia="宋体"/>
                <w:bCs/>
                <w:sz w:val="24"/>
                <w:szCs w:val="24"/>
              </w:rPr>
            </w:pPr>
            <w:r>
              <w:rPr>
                <w:rFonts w:ascii="Times New Roman" w:hAnsi="Times New Roman" w:eastAsia="宋体"/>
                <w:bCs/>
                <w:sz w:val="24"/>
                <w:szCs w:val="24"/>
              </w:rPr>
              <w:t>解释模型的预测结果，分析耕地质量的变化趋势和影响因素；使用可视化工具将模型的预测结果统计图表和地图的形式呈现，更直观地展示土地质量的空间和时间分布情况。</w:t>
            </w:r>
          </w:p>
          <w:p>
            <w:pPr>
              <w:numPr>
                <w:ilvl w:val="255"/>
                <w:numId w:val="0"/>
              </w:numPr>
              <w:snapToGrid w:val="0"/>
              <w:spacing w:line="360" w:lineRule="auto"/>
              <w:outlineLvl w:val="0"/>
              <w:rPr>
                <w:rFonts w:hint="default" w:ascii="Times New Roman" w:hAnsi="Times New Roman" w:eastAsia="宋体"/>
                <w:bCs/>
                <w:sz w:val="24"/>
                <w:szCs w:val="24"/>
              </w:rPr>
            </w:pPr>
          </w:p>
          <w:p>
            <w:pPr>
              <w:numPr>
                <w:ilvl w:val="255"/>
                <w:numId w:val="0"/>
              </w:numPr>
              <w:snapToGrid w:val="0"/>
              <w:spacing w:line="360" w:lineRule="auto"/>
              <w:outlineLvl w:val="0"/>
              <w:rPr>
                <w:rFonts w:hint="default" w:ascii="Times New Roman" w:hAnsi="Times New Roman" w:eastAsia="宋体"/>
                <w:bCs/>
                <w:sz w:val="24"/>
                <w:szCs w:val="24"/>
              </w:rPr>
            </w:pPr>
            <w:r>
              <w:rPr>
                <w:rFonts w:ascii="Times New Roman" w:hAnsi="Times New Roman" w:eastAsia="宋体"/>
                <w:bCs/>
                <w:sz w:val="24"/>
                <w:szCs w:val="24"/>
              </w:rPr>
              <w:t>二、基于基于大数据耦合耕地质量的产量估测模型</w:t>
            </w:r>
          </w:p>
          <w:p>
            <w:pPr>
              <w:numPr>
                <w:ilvl w:val="255"/>
                <w:numId w:val="0"/>
              </w:numPr>
              <w:snapToGrid w:val="0"/>
              <w:spacing w:line="360" w:lineRule="auto"/>
              <w:outlineLvl w:val="0"/>
              <w:rPr>
                <w:rFonts w:hint="default" w:ascii="Times New Roman" w:hAnsi="Times New Roman" w:eastAsia="宋体"/>
                <w:bCs/>
                <w:sz w:val="24"/>
                <w:szCs w:val="24"/>
              </w:rPr>
            </w:pPr>
            <w:r>
              <w:rPr>
                <w:rFonts w:hint="default" w:ascii="Times New Roman" w:hAnsi="Times New Roman" w:eastAsia="宋体"/>
                <w:bCs/>
                <w:sz w:val="24"/>
                <w:szCs w:val="24"/>
              </w:rPr>
              <w:t>1、数据收集</w:t>
            </w:r>
          </w:p>
          <w:p>
            <w:pPr>
              <w:numPr>
                <w:ilvl w:val="255"/>
                <w:numId w:val="0"/>
              </w:numPr>
              <w:snapToGrid w:val="0"/>
              <w:spacing w:line="360" w:lineRule="auto"/>
              <w:ind w:firstLine="480" w:firstLineChars="200"/>
              <w:outlineLvl w:val="0"/>
              <w:rPr>
                <w:rFonts w:hint="default" w:ascii="Times New Roman" w:hAnsi="Times New Roman" w:eastAsia="宋体"/>
                <w:bCs/>
                <w:sz w:val="24"/>
                <w:szCs w:val="24"/>
              </w:rPr>
            </w:pPr>
            <w:r>
              <w:rPr>
                <w:rFonts w:ascii="Times New Roman" w:hAnsi="Times New Roman" w:eastAsia="宋体"/>
                <w:bCs/>
                <w:sz w:val="24"/>
                <w:szCs w:val="24"/>
              </w:rPr>
              <w:t>收集待评估耕地的气象数据，具体包括降水量、温度、风速、蒸散与全年日照时数数据；实地采样获取土壤数据，具体包括土壤有机质含量、土壤养分状况、土壤质地、土壤容重、耕层厚度、黑土层厚度、</w:t>
            </w:r>
            <w:r>
              <w:rPr>
                <w:rFonts w:hint="default" w:ascii="Times New Roman" w:hAnsi="Times New Roman" w:eastAsia="宋体"/>
                <w:bCs/>
                <w:sz w:val="24"/>
                <w:szCs w:val="24"/>
              </w:rPr>
              <w:t>pH值；获取人文指标数据，具体包括粮食播种面积、有效灌溉率、农业劳动力、农机投入、农药使用量、薄膜使用量；收集基于大数据的耕地质量演变预测方法得到的耕地质量评价结果数据。本案通过将耕地质量演变预测模型的结果与其他产能估测数据耦合，解决了未能将耕地质量与产量估计有效结合建模，导致耕地质量与粮食产量提升之间的关联关系不够明晰的问题。</w:t>
            </w:r>
          </w:p>
          <w:p>
            <w:pPr>
              <w:numPr>
                <w:ilvl w:val="255"/>
                <w:numId w:val="0"/>
              </w:numPr>
              <w:snapToGrid w:val="0"/>
              <w:spacing w:line="360" w:lineRule="auto"/>
              <w:outlineLvl w:val="0"/>
              <w:rPr>
                <w:rFonts w:hint="default" w:ascii="Times New Roman" w:hAnsi="Times New Roman" w:eastAsia="宋体"/>
                <w:bCs/>
                <w:sz w:val="24"/>
                <w:szCs w:val="24"/>
              </w:rPr>
            </w:pPr>
            <w:r>
              <w:rPr>
                <w:rFonts w:hint="default" w:ascii="Times New Roman" w:hAnsi="Times New Roman" w:eastAsia="宋体"/>
                <w:bCs/>
                <w:sz w:val="24"/>
                <w:szCs w:val="24"/>
              </w:rPr>
              <w:t>2、模型训练</w:t>
            </w:r>
          </w:p>
          <w:p>
            <w:pPr>
              <w:numPr>
                <w:ilvl w:val="255"/>
                <w:numId w:val="0"/>
              </w:numPr>
              <w:snapToGrid w:val="0"/>
              <w:spacing w:line="360" w:lineRule="auto"/>
              <w:outlineLvl w:val="0"/>
              <w:rPr>
                <w:rFonts w:hint="default" w:ascii="Times New Roman" w:hAnsi="Times New Roman" w:eastAsia="宋体"/>
                <w:bCs/>
                <w:sz w:val="24"/>
                <w:szCs w:val="24"/>
              </w:rPr>
            </w:pPr>
            <w:r>
              <w:rPr>
                <w:rFonts w:ascii="Times New Roman" w:hAnsi="Times New Roman" w:eastAsia="宋体"/>
                <w:bCs/>
                <w:sz w:val="24"/>
                <w:szCs w:val="24"/>
              </w:rPr>
              <w:t>（</w:t>
            </w:r>
            <w:r>
              <w:rPr>
                <w:rFonts w:hint="default" w:ascii="Times New Roman" w:hAnsi="Times New Roman" w:eastAsia="宋体"/>
                <w:bCs/>
                <w:sz w:val="24"/>
                <w:szCs w:val="24"/>
              </w:rPr>
              <w:t>1）构建产量估测模型</w:t>
            </w:r>
          </w:p>
          <w:p>
            <w:pPr>
              <w:numPr>
                <w:ilvl w:val="255"/>
                <w:numId w:val="0"/>
              </w:numPr>
              <w:snapToGrid w:val="0"/>
              <w:spacing w:line="360" w:lineRule="auto"/>
              <w:outlineLvl w:val="0"/>
              <w:rPr>
                <w:rFonts w:hint="default" w:ascii="Times New Roman" w:hAnsi="Times New Roman" w:eastAsia="宋体"/>
                <w:bCs/>
                <w:sz w:val="24"/>
                <w:szCs w:val="24"/>
              </w:rPr>
            </w:pPr>
            <w:r>
              <w:rPr>
                <w:rFonts w:hint="default" w:ascii="Times New Roman" w:hAnsi="Times New Roman" w:eastAsia="宋体"/>
                <w:bCs/>
                <w:sz w:val="24"/>
                <w:szCs w:val="24"/>
              </w:rPr>
              <w:t>1）数据处理</w:t>
            </w:r>
          </w:p>
          <w:p>
            <w:pPr>
              <w:numPr>
                <w:ilvl w:val="255"/>
                <w:numId w:val="0"/>
              </w:numPr>
              <w:snapToGrid w:val="0"/>
              <w:spacing w:line="360" w:lineRule="auto"/>
              <w:ind w:firstLine="480" w:firstLineChars="200"/>
              <w:outlineLvl w:val="0"/>
              <w:rPr>
                <w:rFonts w:hint="default" w:ascii="Times New Roman" w:hAnsi="Times New Roman" w:eastAsia="宋体"/>
                <w:bCs/>
                <w:sz w:val="24"/>
                <w:szCs w:val="24"/>
              </w:rPr>
            </w:pPr>
            <w:r>
              <w:rPr>
                <w:rFonts w:ascii="Times New Roman" w:hAnsi="Times New Roman" w:eastAsia="宋体"/>
                <w:bCs/>
                <w:sz w:val="24"/>
                <w:szCs w:val="24"/>
              </w:rPr>
              <w:t>针对待估测耕地，将所述所有数据进行预处理，包括缺失值处理、异常值检测和处理等，确保数据的质量和完整性。</w:t>
            </w:r>
          </w:p>
          <w:p>
            <w:pPr>
              <w:numPr>
                <w:ilvl w:val="255"/>
                <w:numId w:val="0"/>
              </w:numPr>
              <w:snapToGrid w:val="0"/>
              <w:spacing w:line="360" w:lineRule="auto"/>
              <w:outlineLvl w:val="0"/>
              <w:rPr>
                <w:rFonts w:hint="default" w:ascii="Times New Roman" w:hAnsi="Times New Roman" w:eastAsia="宋体"/>
                <w:bCs/>
                <w:sz w:val="24"/>
                <w:szCs w:val="24"/>
              </w:rPr>
            </w:pPr>
            <w:r>
              <w:rPr>
                <w:rFonts w:hint="default" w:ascii="Times New Roman" w:hAnsi="Times New Roman" w:eastAsia="宋体"/>
                <w:bCs/>
                <w:sz w:val="24"/>
                <w:szCs w:val="24"/>
              </w:rPr>
              <w:t>2）构建产能估测模型</w:t>
            </w:r>
          </w:p>
          <w:p>
            <w:pPr>
              <w:numPr>
                <w:ilvl w:val="255"/>
                <w:numId w:val="0"/>
              </w:numPr>
              <w:snapToGrid w:val="0"/>
              <w:spacing w:line="360" w:lineRule="auto"/>
              <w:ind w:firstLine="480" w:firstLineChars="200"/>
              <w:outlineLvl w:val="0"/>
              <w:rPr>
                <w:rFonts w:hint="default" w:ascii="Times New Roman" w:hAnsi="Times New Roman" w:eastAsia="宋体"/>
                <w:bCs/>
                <w:sz w:val="24"/>
                <w:szCs w:val="24"/>
              </w:rPr>
            </w:pPr>
            <w:r>
              <w:rPr>
                <w:rFonts w:ascii="Times New Roman" w:hAnsi="Times New Roman" w:eastAsia="宋体"/>
                <w:bCs/>
                <w:sz w:val="24"/>
                <w:szCs w:val="24"/>
              </w:rPr>
              <w:t>本案耕地产量估测模型为利用地理加权回归（</w:t>
            </w:r>
            <w:r>
              <w:rPr>
                <w:rFonts w:hint="default" w:ascii="Times New Roman" w:hAnsi="Times New Roman" w:eastAsia="宋体"/>
                <w:bCs/>
                <w:sz w:val="24"/>
                <w:szCs w:val="24"/>
              </w:rPr>
              <w:t>GWR）构建产能估测模型，是根据多要素联网观测获取的大数据进行训练得到的。</w:t>
            </w:r>
          </w:p>
          <w:p>
            <w:pPr>
              <w:numPr>
                <w:ilvl w:val="255"/>
                <w:numId w:val="0"/>
              </w:numPr>
              <w:snapToGrid w:val="0"/>
              <w:spacing w:line="360" w:lineRule="auto"/>
              <w:outlineLvl w:val="0"/>
              <w:rPr>
                <w:rFonts w:hint="default" w:ascii="Times New Roman" w:hAnsi="Times New Roman" w:eastAsia="宋体"/>
                <w:bCs/>
                <w:sz w:val="24"/>
                <w:szCs w:val="24"/>
              </w:rPr>
            </w:pPr>
            <w:r>
              <w:rPr>
                <w:rFonts w:ascii="Times New Roman" w:hAnsi="Times New Roman" w:eastAsia="宋体"/>
                <w:bCs/>
                <w:sz w:val="24"/>
                <w:szCs w:val="24"/>
              </w:rPr>
              <w:t>①空间权重矩阵</w:t>
            </w:r>
          </w:p>
          <w:p>
            <w:pPr>
              <w:numPr>
                <w:ilvl w:val="255"/>
                <w:numId w:val="0"/>
              </w:numPr>
              <w:snapToGrid w:val="0"/>
              <w:spacing w:line="360" w:lineRule="auto"/>
              <w:ind w:firstLine="480" w:firstLineChars="200"/>
              <w:outlineLvl w:val="0"/>
              <w:rPr>
                <w:rFonts w:hint="default" w:ascii="Times New Roman" w:hAnsi="Times New Roman" w:eastAsia="宋体"/>
                <w:bCs/>
                <w:sz w:val="24"/>
                <w:szCs w:val="24"/>
              </w:rPr>
            </w:pPr>
            <w:r>
              <w:rPr>
                <w:rFonts w:ascii="Times New Roman" w:hAnsi="Times New Roman" w:eastAsia="宋体"/>
                <w:bCs/>
                <w:sz w:val="24"/>
                <w:szCs w:val="24"/>
              </w:rPr>
              <w:t>根据粮食产能估测数据确定空间关联的度量方式，计算空间权重，标准化权重，构建权重矩阵，输出空间权重矩阵。</w:t>
            </w:r>
          </w:p>
          <w:p>
            <w:pPr>
              <w:numPr>
                <w:ilvl w:val="255"/>
                <w:numId w:val="0"/>
              </w:numPr>
              <w:snapToGrid w:val="0"/>
              <w:spacing w:line="360" w:lineRule="auto"/>
              <w:outlineLvl w:val="0"/>
              <w:rPr>
                <w:rFonts w:hint="default" w:ascii="Times New Roman" w:hAnsi="Times New Roman" w:eastAsia="宋体"/>
                <w:bCs/>
                <w:sz w:val="24"/>
                <w:szCs w:val="24"/>
              </w:rPr>
            </w:pPr>
            <w:r>
              <w:rPr>
                <w:rFonts w:ascii="Times New Roman" w:hAnsi="Times New Roman" w:eastAsia="宋体"/>
                <w:bCs/>
                <w:sz w:val="24"/>
                <w:szCs w:val="24"/>
              </w:rPr>
              <w:t>②地理加权回归</w:t>
            </w:r>
          </w:p>
          <w:p>
            <w:pPr>
              <w:numPr>
                <w:ilvl w:val="255"/>
                <w:numId w:val="0"/>
              </w:numPr>
              <w:snapToGrid w:val="0"/>
              <w:spacing w:line="360" w:lineRule="auto"/>
              <w:ind w:firstLine="480" w:firstLineChars="200"/>
              <w:outlineLvl w:val="0"/>
              <w:rPr>
                <w:rFonts w:hint="default" w:ascii="Times New Roman" w:hAnsi="Times New Roman" w:eastAsia="宋体"/>
                <w:bCs/>
                <w:sz w:val="24"/>
                <w:szCs w:val="24"/>
              </w:rPr>
            </w:pPr>
            <w:r>
              <w:rPr>
                <w:rFonts w:ascii="Times New Roman" w:hAnsi="Times New Roman" w:eastAsia="宋体"/>
                <w:bCs/>
                <w:sz w:val="24"/>
                <w:szCs w:val="24"/>
              </w:rPr>
              <w:t>使用构建的空间权重矩阵，对所述粮食产能估测数据进行地理加权回归分析（例如：利用采用地理加权的普通最小二乘（</w:t>
            </w:r>
            <w:r>
              <w:rPr>
                <w:rFonts w:hint="default" w:ascii="Times New Roman" w:hAnsi="Times New Roman" w:eastAsia="宋体"/>
                <w:bCs/>
                <w:sz w:val="24"/>
                <w:szCs w:val="24"/>
              </w:rPr>
              <w:t>OLS）回归方法），对每个样本点的产能数据进行建模。</w:t>
            </w:r>
          </w:p>
          <w:p>
            <w:pPr>
              <w:numPr>
                <w:ilvl w:val="255"/>
                <w:numId w:val="0"/>
              </w:numPr>
              <w:snapToGrid w:val="0"/>
              <w:spacing w:line="360" w:lineRule="auto"/>
              <w:outlineLvl w:val="0"/>
              <w:rPr>
                <w:rFonts w:hint="default" w:ascii="Times New Roman" w:hAnsi="Times New Roman" w:eastAsia="宋体"/>
                <w:bCs/>
                <w:sz w:val="24"/>
                <w:szCs w:val="24"/>
              </w:rPr>
            </w:pPr>
            <w:r>
              <w:rPr>
                <w:rFonts w:ascii="Times New Roman" w:hAnsi="Times New Roman" w:eastAsia="宋体"/>
                <w:bCs/>
                <w:sz w:val="24"/>
                <w:szCs w:val="24"/>
              </w:rPr>
              <w:t>（</w:t>
            </w:r>
            <w:r>
              <w:rPr>
                <w:rFonts w:hint="default" w:ascii="Times New Roman" w:hAnsi="Times New Roman" w:eastAsia="宋体"/>
                <w:bCs/>
                <w:sz w:val="24"/>
                <w:szCs w:val="24"/>
              </w:rPr>
              <w:t>2）模型训练</w:t>
            </w:r>
          </w:p>
          <w:p>
            <w:pPr>
              <w:numPr>
                <w:ilvl w:val="255"/>
                <w:numId w:val="0"/>
              </w:numPr>
              <w:snapToGrid w:val="0"/>
              <w:spacing w:line="360" w:lineRule="auto"/>
              <w:ind w:firstLine="480" w:firstLineChars="200"/>
              <w:outlineLvl w:val="0"/>
              <w:rPr>
                <w:rFonts w:hint="default" w:ascii="Times New Roman" w:hAnsi="Times New Roman" w:eastAsia="宋体"/>
                <w:bCs/>
                <w:sz w:val="24"/>
                <w:szCs w:val="24"/>
              </w:rPr>
            </w:pPr>
            <w:r>
              <w:rPr>
                <w:rFonts w:ascii="Times New Roman" w:hAnsi="Times New Roman" w:eastAsia="宋体"/>
                <w:bCs/>
                <w:sz w:val="24"/>
                <w:szCs w:val="24"/>
              </w:rPr>
              <w:t>选择样本集</w:t>
            </w:r>
            <w:r>
              <w:rPr>
                <w:rFonts w:hint="default" w:ascii="Times New Roman" w:hAnsi="Times New Roman" w:eastAsia="宋体"/>
                <w:bCs/>
                <w:sz w:val="24"/>
                <w:szCs w:val="24"/>
              </w:rPr>
              <w:t>60%数据作为训练数据，20%数据作为验证数据，20%作为测试数据，进行模型训练得到耕地产量估测模型。</w:t>
            </w:r>
          </w:p>
          <w:p>
            <w:pPr>
              <w:numPr>
                <w:ilvl w:val="255"/>
                <w:numId w:val="0"/>
              </w:numPr>
              <w:snapToGrid w:val="0"/>
              <w:spacing w:line="360" w:lineRule="auto"/>
              <w:outlineLvl w:val="0"/>
              <w:rPr>
                <w:rFonts w:hint="default" w:ascii="Times New Roman" w:hAnsi="Times New Roman" w:eastAsia="宋体"/>
                <w:bCs/>
                <w:sz w:val="24"/>
                <w:szCs w:val="24"/>
              </w:rPr>
            </w:pPr>
            <w:r>
              <w:rPr>
                <w:rFonts w:hint="default" w:ascii="Times New Roman" w:hAnsi="Times New Roman" w:eastAsia="宋体"/>
                <w:bCs/>
                <w:sz w:val="24"/>
                <w:szCs w:val="24"/>
              </w:rPr>
              <w:t>3、模型评估</w:t>
            </w:r>
          </w:p>
          <w:p>
            <w:pPr>
              <w:numPr>
                <w:ilvl w:val="255"/>
                <w:numId w:val="0"/>
              </w:numPr>
              <w:snapToGrid w:val="0"/>
              <w:spacing w:line="360" w:lineRule="auto"/>
              <w:outlineLvl w:val="0"/>
              <w:rPr>
                <w:rFonts w:hint="default" w:ascii="Times New Roman" w:hAnsi="Times New Roman" w:eastAsia="宋体"/>
                <w:bCs/>
                <w:sz w:val="24"/>
                <w:szCs w:val="24"/>
              </w:rPr>
            </w:pPr>
            <w:r>
              <w:rPr>
                <w:rFonts w:ascii="Times New Roman" w:hAnsi="Times New Roman" w:eastAsia="宋体"/>
                <w:bCs/>
                <w:sz w:val="24"/>
                <w:szCs w:val="24"/>
              </w:rPr>
              <w:t>（</w:t>
            </w:r>
            <w:r>
              <w:rPr>
                <w:rFonts w:hint="default" w:ascii="Times New Roman" w:hAnsi="Times New Roman" w:eastAsia="宋体"/>
                <w:bCs/>
                <w:sz w:val="24"/>
                <w:szCs w:val="24"/>
              </w:rPr>
              <w:t>1）数据收集与处理</w:t>
            </w:r>
          </w:p>
          <w:p>
            <w:pPr>
              <w:numPr>
                <w:ilvl w:val="255"/>
                <w:numId w:val="0"/>
              </w:numPr>
              <w:snapToGrid w:val="0"/>
              <w:spacing w:line="360" w:lineRule="auto"/>
              <w:ind w:firstLine="480" w:firstLineChars="200"/>
              <w:outlineLvl w:val="0"/>
              <w:rPr>
                <w:rFonts w:hint="default" w:ascii="Times New Roman" w:hAnsi="Times New Roman" w:eastAsia="宋体"/>
                <w:bCs/>
                <w:sz w:val="24"/>
                <w:szCs w:val="24"/>
              </w:rPr>
            </w:pPr>
            <w:r>
              <w:rPr>
                <w:rFonts w:ascii="Times New Roman" w:hAnsi="Times New Roman" w:eastAsia="宋体"/>
                <w:bCs/>
                <w:sz w:val="24"/>
                <w:szCs w:val="24"/>
              </w:rPr>
              <w:t>收集待评估耕地的气象数据，具体包括降水量、温度、风速、蒸散与全年日照时数数据；实地采样获取土壤数据，具体包括土壤有机质含量、土壤养分状况、土壤质地、土壤容重、耕层厚度、黑土层厚度、</w:t>
            </w:r>
            <w:r>
              <w:rPr>
                <w:rFonts w:hint="default" w:ascii="Times New Roman" w:hAnsi="Times New Roman" w:eastAsia="宋体"/>
                <w:bCs/>
                <w:sz w:val="24"/>
                <w:szCs w:val="24"/>
              </w:rPr>
              <w:t>pH值；获取人文指标数据，具体包括粮食播种面积、有效灌溉率、农业劳动力、农机投入、农药使用量、薄膜使用量；收集基于大数据的耕地质量演变预测方法得到的耕地质量评价结果数据。将所述所有数据进行预处理，包括缺失值处理、异常值检测和处理等，确保数据的质量和完整性。</w:t>
            </w:r>
          </w:p>
          <w:p>
            <w:pPr>
              <w:numPr>
                <w:ilvl w:val="255"/>
                <w:numId w:val="0"/>
              </w:numPr>
              <w:snapToGrid w:val="0"/>
              <w:spacing w:line="360" w:lineRule="auto"/>
              <w:outlineLvl w:val="0"/>
              <w:rPr>
                <w:rFonts w:hint="default" w:ascii="Times New Roman" w:hAnsi="Times New Roman" w:eastAsia="宋体"/>
                <w:bCs/>
                <w:sz w:val="24"/>
                <w:szCs w:val="24"/>
              </w:rPr>
            </w:pPr>
            <w:r>
              <w:rPr>
                <w:rFonts w:ascii="Times New Roman" w:hAnsi="Times New Roman" w:eastAsia="宋体"/>
                <w:bCs/>
                <w:sz w:val="24"/>
                <w:szCs w:val="24"/>
              </w:rPr>
              <w:t>（</w:t>
            </w:r>
            <w:r>
              <w:rPr>
                <w:rFonts w:hint="default" w:ascii="Times New Roman" w:hAnsi="Times New Roman" w:eastAsia="宋体"/>
                <w:bCs/>
                <w:sz w:val="24"/>
                <w:szCs w:val="24"/>
              </w:rPr>
              <w:t>2）模型预测</w:t>
            </w:r>
          </w:p>
          <w:p>
            <w:pPr>
              <w:numPr>
                <w:ilvl w:val="255"/>
                <w:numId w:val="0"/>
              </w:numPr>
              <w:snapToGrid w:val="0"/>
              <w:spacing w:line="360" w:lineRule="auto"/>
              <w:ind w:firstLine="480" w:firstLineChars="200"/>
              <w:outlineLvl w:val="0"/>
              <w:rPr>
                <w:rFonts w:hint="default" w:ascii="Times New Roman" w:hAnsi="Times New Roman" w:eastAsia="宋体"/>
                <w:bCs/>
                <w:sz w:val="24"/>
                <w:szCs w:val="24"/>
              </w:rPr>
            </w:pPr>
            <w:r>
              <w:rPr>
                <w:rFonts w:ascii="Times New Roman" w:hAnsi="Times New Roman" w:eastAsia="宋体"/>
                <w:bCs/>
                <w:sz w:val="24"/>
                <w:szCs w:val="24"/>
              </w:rPr>
              <w:t>依次将数据输入耕地产能估测模型，输出对应耕地产能估测结果。</w:t>
            </w:r>
          </w:p>
          <w:p>
            <w:pPr>
              <w:numPr>
                <w:ilvl w:val="255"/>
                <w:numId w:val="0"/>
              </w:numPr>
              <w:snapToGrid w:val="0"/>
              <w:spacing w:line="360" w:lineRule="auto"/>
              <w:outlineLvl w:val="0"/>
              <w:rPr>
                <w:rFonts w:hint="default" w:ascii="Times New Roman" w:hAnsi="Times New Roman" w:eastAsia="宋体"/>
                <w:bCs/>
                <w:sz w:val="24"/>
                <w:szCs w:val="24"/>
              </w:rPr>
            </w:pPr>
            <w:r>
              <w:rPr>
                <w:rFonts w:ascii="Times New Roman" w:hAnsi="Times New Roman" w:eastAsia="宋体"/>
                <w:bCs/>
                <w:sz w:val="24"/>
                <w:szCs w:val="24"/>
              </w:rPr>
              <w:t>（</w:t>
            </w:r>
            <w:r>
              <w:rPr>
                <w:rFonts w:hint="default" w:ascii="Times New Roman" w:hAnsi="Times New Roman" w:eastAsia="宋体"/>
                <w:bCs/>
                <w:sz w:val="24"/>
                <w:szCs w:val="24"/>
              </w:rPr>
              <w:t>3）参数估计与显著性检验</w:t>
            </w:r>
          </w:p>
          <w:p>
            <w:pPr>
              <w:numPr>
                <w:ilvl w:val="255"/>
                <w:numId w:val="0"/>
              </w:numPr>
              <w:snapToGrid w:val="0"/>
              <w:spacing w:line="360" w:lineRule="auto"/>
              <w:ind w:firstLine="480" w:firstLineChars="200"/>
              <w:outlineLvl w:val="0"/>
              <w:rPr>
                <w:rFonts w:hint="default" w:ascii="Times New Roman" w:hAnsi="Times New Roman" w:eastAsia="宋体"/>
                <w:bCs/>
                <w:sz w:val="24"/>
                <w:szCs w:val="24"/>
              </w:rPr>
            </w:pPr>
            <w:r>
              <w:rPr>
                <w:rFonts w:ascii="Times New Roman" w:hAnsi="Times New Roman" w:eastAsia="宋体"/>
                <w:bCs/>
                <w:sz w:val="24"/>
                <w:szCs w:val="24"/>
              </w:rPr>
              <w:t>估计耕地产能与其他变量之间的回归系数，并进行参数的显著性检验，输出对产能具有统计显著影响的变量，验证模型的拟合度和参数的统计显著性。该结果有助于模型优化和调整。</w:t>
            </w:r>
          </w:p>
          <w:p>
            <w:pPr>
              <w:numPr>
                <w:ilvl w:val="255"/>
                <w:numId w:val="0"/>
              </w:numPr>
              <w:snapToGrid w:val="0"/>
              <w:spacing w:line="360" w:lineRule="auto"/>
              <w:outlineLvl w:val="0"/>
              <w:rPr>
                <w:rFonts w:hint="default" w:ascii="Times New Roman" w:hAnsi="Times New Roman" w:eastAsia="宋体"/>
                <w:bCs/>
                <w:sz w:val="24"/>
                <w:szCs w:val="24"/>
              </w:rPr>
            </w:pPr>
            <w:r>
              <w:rPr>
                <w:rFonts w:ascii="Times New Roman" w:hAnsi="Times New Roman" w:eastAsia="宋体"/>
                <w:bCs/>
                <w:sz w:val="24"/>
                <w:szCs w:val="24"/>
              </w:rPr>
              <w:t>（</w:t>
            </w:r>
            <w:r>
              <w:rPr>
                <w:rFonts w:hint="default" w:ascii="Times New Roman" w:hAnsi="Times New Roman" w:eastAsia="宋体"/>
                <w:bCs/>
                <w:sz w:val="24"/>
                <w:szCs w:val="24"/>
              </w:rPr>
              <w:t>4）结果解释与可视化</w:t>
            </w:r>
          </w:p>
          <w:p>
            <w:pPr>
              <w:numPr>
                <w:ilvl w:val="255"/>
                <w:numId w:val="0"/>
              </w:numPr>
              <w:snapToGrid w:val="0"/>
              <w:spacing w:line="360" w:lineRule="auto"/>
              <w:ind w:firstLine="480" w:firstLineChars="200"/>
              <w:outlineLvl w:val="0"/>
              <w:rPr>
                <w:rFonts w:hint="default" w:ascii="Times New Roman" w:hAnsi="Times New Roman" w:eastAsia="宋体"/>
                <w:bCs/>
                <w:sz w:val="24"/>
                <w:szCs w:val="24"/>
              </w:rPr>
            </w:pPr>
            <w:r>
              <w:rPr>
                <w:rFonts w:ascii="Times New Roman" w:hAnsi="Times New Roman" w:eastAsia="宋体"/>
                <w:bCs/>
                <w:sz w:val="24"/>
                <w:szCs w:val="24"/>
              </w:rPr>
              <w:t>解释模型的估测结果，分析耕地产能的变化趋势和影响因素；使用可视化工具将模型的估测结果统计图表和地图的形式呈现，更直观地展示耕地产能的空间和时间分布情况。</w:t>
            </w:r>
          </w:p>
          <w:p>
            <w:pPr>
              <w:snapToGrid w:val="0"/>
              <w:spacing w:line="360" w:lineRule="auto"/>
              <w:outlineLvl w:val="0"/>
              <w:rPr>
                <w:rFonts w:hint="default" w:ascii="Times New Roman" w:hAnsi="Times New Roman" w:eastAsia="宋体"/>
                <w:bCs/>
                <w:sz w:val="24"/>
                <w:szCs w:val="24"/>
              </w:rPr>
            </w:pPr>
          </w:p>
          <w:p>
            <w:pPr>
              <w:snapToGrid w:val="0"/>
              <w:spacing w:line="360" w:lineRule="auto"/>
              <w:ind w:firstLine="480" w:firstLineChars="200"/>
              <w:outlineLvl w:val="0"/>
              <w:rPr>
                <w:rFonts w:hint="default" w:ascii="Times New Roman" w:hAnsi="Times New Roman" w:eastAsia="宋体"/>
                <w:color w:val="000000"/>
                <w:sz w:val="24"/>
                <w:szCs w:val="24"/>
              </w:rPr>
            </w:pPr>
          </w:p>
          <w:p>
            <w:pPr>
              <w:spacing w:line="480" w:lineRule="exact"/>
              <w:ind w:firstLine="480" w:firstLineChars="200"/>
              <w:outlineLvl w:val="0"/>
              <w:rPr>
                <w:rFonts w:hint="default" w:ascii="Times New Roman" w:hAnsi="Times New Roman" w:eastAsia="宋体"/>
                <w:color w:val="0000FF"/>
                <w:sz w:val="24"/>
                <w:szCs w:val="24"/>
              </w:rPr>
            </w:pPr>
            <w:r>
              <w:rPr>
                <w:rFonts w:ascii="Times New Roman" w:hAnsi="Times New Roman" w:eastAsia="宋体"/>
                <w:color w:val="0000FF"/>
                <w:sz w:val="24"/>
                <w:szCs w:val="24"/>
              </w:rPr>
              <w:t>本技术重点保护</w:t>
            </w:r>
          </w:p>
          <w:p>
            <w:pPr>
              <w:spacing w:line="480" w:lineRule="exact"/>
              <w:ind w:left="480"/>
              <w:outlineLvl w:val="0"/>
              <w:rPr>
                <w:rFonts w:hint="default" w:ascii="Times New Roman" w:hAnsi="Times New Roman" w:eastAsia="宋体"/>
                <w:color w:val="000000"/>
                <w:sz w:val="24"/>
                <w:szCs w:val="24"/>
              </w:rPr>
            </w:pPr>
            <w:r>
              <w:rPr>
                <w:rFonts w:hint="default" w:ascii="Times New Roman" w:hAnsi="Times New Roman" w:eastAsia="宋体"/>
                <w:color w:val="000000"/>
                <w:sz w:val="24"/>
                <w:szCs w:val="24"/>
              </w:rPr>
              <w:t>1、一.1</w:t>
            </w:r>
          </w:p>
          <w:p>
            <w:pPr>
              <w:spacing w:line="480" w:lineRule="exact"/>
              <w:ind w:left="480"/>
              <w:outlineLvl w:val="0"/>
              <w:rPr>
                <w:rFonts w:hint="default" w:ascii="Times New Roman" w:hAnsi="Times New Roman" w:eastAsia="宋体"/>
                <w:color w:val="000000"/>
                <w:sz w:val="24"/>
                <w:szCs w:val="24"/>
              </w:rPr>
            </w:pPr>
            <w:r>
              <w:rPr>
                <w:rFonts w:hint="default" w:ascii="Times New Roman" w:hAnsi="Times New Roman" w:eastAsia="宋体"/>
                <w:color w:val="000000"/>
                <w:sz w:val="24"/>
                <w:szCs w:val="24"/>
              </w:rPr>
              <w:t>2、一.2.（1）.2）</w:t>
            </w:r>
          </w:p>
          <w:p>
            <w:pPr>
              <w:spacing w:line="480" w:lineRule="exact"/>
              <w:ind w:left="480"/>
              <w:outlineLvl w:val="0"/>
              <w:rPr>
                <w:rFonts w:hint="default" w:ascii="Times New Roman" w:hAnsi="Times New Roman" w:eastAsia="宋体"/>
                <w:color w:val="000000"/>
                <w:sz w:val="24"/>
                <w:szCs w:val="24"/>
              </w:rPr>
            </w:pPr>
            <w:r>
              <w:rPr>
                <w:rFonts w:hint="default" w:ascii="Times New Roman" w:hAnsi="Times New Roman" w:eastAsia="宋体"/>
                <w:color w:val="000000"/>
                <w:sz w:val="24"/>
                <w:szCs w:val="24"/>
              </w:rPr>
              <w:t>3、一.3</w:t>
            </w:r>
          </w:p>
          <w:p>
            <w:pPr>
              <w:spacing w:line="480" w:lineRule="exact"/>
              <w:ind w:left="480"/>
              <w:outlineLvl w:val="0"/>
              <w:rPr>
                <w:rFonts w:hint="default" w:ascii="Times New Roman" w:hAnsi="Times New Roman" w:eastAsia="宋体"/>
                <w:color w:val="000000"/>
                <w:sz w:val="24"/>
                <w:szCs w:val="24"/>
              </w:rPr>
            </w:pPr>
            <w:r>
              <w:rPr>
                <w:rFonts w:hint="default" w:ascii="Times New Roman" w:hAnsi="Times New Roman" w:eastAsia="宋体"/>
                <w:color w:val="000000"/>
                <w:sz w:val="24"/>
                <w:szCs w:val="24"/>
              </w:rPr>
              <w:t>4、二.1</w:t>
            </w:r>
          </w:p>
          <w:p>
            <w:pPr>
              <w:spacing w:line="480" w:lineRule="exact"/>
              <w:ind w:left="480"/>
              <w:outlineLvl w:val="0"/>
              <w:rPr>
                <w:rFonts w:hint="default" w:ascii="Times New Roman" w:hAnsi="Times New Roman" w:eastAsia="宋体"/>
                <w:color w:val="000000"/>
                <w:sz w:val="24"/>
                <w:szCs w:val="24"/>
              </w:rPr>
            </w:pPr>
            <w:r>
              <w:rPr>
                <w:rFonts w:hint="default" w:ascii="Times New Roman" w:hAnsi="Times New Roman" w:eastAsia="宋体"/>
                <w:color w:val="000000"/>
                <w:sz w:val="24"/>
                <w:szCs w:val="24"/>
              </w:rPr>
              <w:t>5、二. 2.（1）.2）</w:t>
            </w:r>
          </w:p>
          <w:p>
            <w:pPr>
              <w:numPr>
                <w:ilvl w:val="0"/>
                <w:numId w:val="0"/>
              </w:numPr>
              <w:spacing w:line="480" w:lineRule="exact"/>
              <w:ind w:left="480" w:firstLine="0" w:firstLineChars="0"/>
              <w:outlineLvl w:val="0"/>
              <w:rPr>
                <w:rFonts w:hint="default" w:ascii="Times New Roman" w:hAnsi="Times New Roman" w:eastAsia="宋体"/>
                <w:color w:val="000000"/>
                <w:sz w:val="24"/>
                <w:szCs w:val="24"/>
              </w:rPr>
            </w:pPr>
            <w:r>
              <w:rPr>
                <w:rFonts w:hint="default" w:ascii="Times New Roman" w:hAnsi="Times New Roman" w:eastAsia="宋体"/>
                <w:color w:val="000000"/>
                <w:sz w:val="24"/>
                <w:szCs w:val="24"/>
              </w:rPr>
              <w:t>6、二.3</w:t>
            </w:r>
          </w:p>
          <w:p>
            <w:pPr>
              <w:numPr>
                <w:ilvl w:val="255"/>
                <w:numId w:val="0"/>
              </w:numPr>
              <w:spacing w:line="480" w:lineRule="exact"/>
              <w:outlineLvl w:val="0"/>
              <w:rPr>
                <w:rFonts w:hint="default" w:ascii="Times New Roman" w:hAnsi="Times New Roman" w:eastAsia="宋体"/>
                <w:color w:val="000000"/>
                <w:sz w:val="24"/>
                <w:szCs w:val="24"/>
              </w:rPr>
            </w:pPr>
          </w:p>
          <w:p>
            <w:pPr>
              <w:spacing w:line="480" w:lineRule="exact"/>
              <w:ind w:firstLine="480" w:firstLineChars="200"/>
              <w:outlineLvl w:val="0"/>
              <w:rPr>
                <w:rFonts w:hint="default" w:ascii="Times New Roman" w:hAnsi="Times New Roman" w:eastAsia="宋体"/>
                <w:color w:val="0000FF"/>
                <w:sz w:val="24"/>
                <w:szCs w:val="24"/>
              </w:rPr>
            </w:pPr>
            <w:r>
              <w:rPr>
                <w:rFonts w:ascii="Times New Roman" w:hAnsi="Times New Roman" w:eastAsia="宋体"/>
                <w:color w:val="0000FF"/>
                <w:sz w:val="24"/>
                <w:szCs w:val="24"/>
              </w:rPr>
              <w:t>与现有技术的方式相比，本专利具有以下至少一种优点：</w:t>
            </w:r>
          </w:p>
          <w:p>
            <w:pPr>
              <w:numPr>
                <w:ilvl w:val="0"/>
                <w:numId w:val="0"/>
              </w:numPr>
              <w:spacing w:line="480" w:lineRule="exact"/>
              <w:ind w:firstLine="480" w:firstLineChars="200"/>
              <w:outlineLvl w:val="0"/>
              <w:rPr>
                <w:rFonts w:hint="default" w:ascii="Times New Roman" w:hAnsi="Times New Roman" w:eastAsia="宋体"/>
                <w:bCs/>
                <w:sz w:val="24"/>
                <w:szCs w:val="24"/>
              </w:rPr>
            </w:pPr>
            <w:r>
              <w:rPr>
                <w:rFonts w:hint="eastAsia" w:ascii="Times New Roman" w:hAnsi="Times New Roman" w:eastAsia="宋体"/>
                <w:bCs/>
                <w:sz w:val="24"/>
                <w:szCs w:val="24"/>
                <w:lang w:val="en-US" w:eastAsia="zh-CN"/>
              </w:rPr>
              <w:t>1、</w:t>
            </w:r>
            <w:r>
              <w:rPr>
                <w:rFonts w:hint="default" w:ascii="Times New Roman" w:hAnsi="Times New Roman" w:eastAsia="宋体"/>
                <w:bCs/>
                <w:sz w:val="24"/>
                <w:szCs w:val="24"/>
              </w:rPr>
              <w:t>目前，大尺度的耕地质量评价和粮食产能预测主要依赖于气象和遥感数据，在考虑影响因子方面相对单一。而本案选择的耕地质量影响因子以及产能影响因子涉及各个方面，通过多要素联网观测获取大数据、多因子建模，使得模型更具有可靠性。</w:t>
            </w:r>
          </w:p>
          <w:p>
            <w:pPr>
              <w:numPr>
                <w:ilvl w:val="0"/>
                <w:numId w:val="0"/>
              </w:numPr>
              <w:spacing w:line="480" w:lineRule="exact"/>
              <w:ind w:firstLine="480" w:firstLineChars="200"/>
              <w:outlineLvl w:val="0"/>
              <w:rPr>
                <w:rFonts w:hint="default" w:ascii="Times New Roman" w:hAnsi="Times New Roman" w:eastAsia="宋体"/>
                <w:bCs/>
                <w:sz w:val="24"/>
                <w:szCs w:val="24"/>
              </w:rPr>
            </w:pPr>
            <w:r>
              <w:rPr>
                <w:rFonts w:hint="default" w:ascii="Times New Roman" w:hAnsi="Times New Roman" w:eastAsia="宋体"/>
                <w:bCs/>
                <w:sz w:val="24"/>
                <w:szCs w:val="24"/>
              </w:rPr>
              <w:t>2、关于耕地质量的预测模型采用LSTM深度学习网络建模来预测未来结果，解决了过往单一模型效果不佳、深度学习等新方法较少应用以及缺少动态预测的问题。</w:t>
            </w:r>
          </w:p>
          <w:p>
            <w:pPr>
              <w:numPr>
                <w:ilvl w:val="0"/>
                <w:numId w:val="0"/>
              </w:numPr>
              <w:spacing w:line="480" w:lineRule="exact"/>
              <w:ind w:firstLine="480" w:firstLineChars="200"/>
              <w:outlineLvl w:val="0"/>
              <w:rPr>
                <w:rFonts w:hint="default" w:ascii="Times New Roman" w:hAnsi="Times New Roman" w:eastAsia="宋体"/>
                <w:bCs/>
                <w:sz w:val="24"/>
                <w:szCs w:val="24"/>
              </w:rPr>
            </w:pPr>
            <w:r>
              <w:rPr>
                <w:rFonts w:hint="default" w:ascii="Times New Roman" w:hAnsi="Times New Roman" w:eastAsia="宋体"/>
                <w:bCs/>
                <w:sz w:val="24"/>
                <w:szCs w:val="24"/>
              </w:rPr>
              <w:t>3、在产能估测模型上耦合耕地质量演变预测结果，有助于明确耕地质量和粮食产量提升的内在联系（提升关系），使得产能可以依托耕地质量动态演变进行更加精准的估测。</w:t>
            </w:r>
          </w:p>
          <w:p>
            <w:pPr>
              <w:spacing w:line="480" w:lineRule="exact"/>
              <w:ind w:firstLine="480" w:firstLineChars="200"/>
              <w:outlineLvl w:val="0"/>
              <w:rPr>
                <w:rFonts w:hint="default" w:ascii="Times New Roman" w:hAnsi="Times New Roman" w:eastAsia="宋体"/>
                <w:color w:val="0000FF"/>
                <w:sz w:val="24"/>
                <w:szCs w:val="24"/>
              </w:rPr>
            </w:pPr>
          </w:p>
          <w:p>
            <w:pPr>
              <w:spacing w:line="480" w:lineRule="exact"/>
              <w:outlineLvl w:val="0"/>
              <w:rPr>
                <w:rFonts w:hint="default" w:ascii="Times New Roman" w:hAnsi="Times New Roman" w:eastAsia="宋体"/>
                <w:sz w:val="24"/>
              </w:rPr>
            </w:pPr>
          </w:p>
          <w:p>
            <w:pPr>
              <w:spacing w:line="480" w:lineRule="exact"/>
              <w:outlineLvl w:val="0"/>
              <w:rPr>
                <w:rFonts w:hint="default" w:ascii="Times New Roman" w:hAnsi="Times New Roman" w:eastAsia="宋体"/>
                <w:sz w:val="24"/>
              </w:rPr>
            </w:pPr>
          </w:p>
          <w:p>
            <w:pPr>
              <w:spacing w:line="480" w:lineRule="exact"/>
              <w:outlineLvl w:val="0"/>
              <w:rPr>
                <w:rFonts w:hint="default" w:ascii="Times New Roman" w:hAnsi="Times New Roman" w:eastAsia="宋体"/>
                <w:color w:val="000000"/>
              </w:rPr>
            </w:pPr>
          </w:p>
          <w:p>
            <w:pPr>
              <w:spacing w:line="480" w:lineRule="exact"/>
              <w:ind w:firstLine="480" w:firstLineChars="200"/>
              <w:outlineLvl w:val="0"/>
              <w:rPr>
                <w:rFonts w:hint="default" w:ascii="Times New Roman" w:hAnsi="Times New Roman" w:eastAsia="宋体"/>
                <w:color w:val="00000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8" w:hRule="atLeast"/>
        </w:trPr>
        <w:tc>
          <w:tcPr>
            <w:tcW w:w="9288" w:type="dxa"/>
            <w:tcBorders>
              <w:top w:val="single" w:color="auto" w:sz="4" w:space="0"/>
              <w:left w:val="single" w:color="auto" w:sz="4" w:space="0"/>
              <w:bottom w:val="single" w:color="auto" w:sz="4" w:space="0"/>
              <w:right w:val="single" w:color="auto" w:sz="4" w:space="0"/>
              <w:tl2br w:val="nil"/>
              <w:tr2bl w:val="nil"/>
            </w:tcBorders>
          </w:tcPr>
          <w:p>
            <w:pPr>
              <w:spacing w:line="480" w:lineRule="exact"/>
              <w:ind w:firstLine="480" w:firstLineChars="200"/>
              <w:outlineLvl w:val="0"/>
              <w:rPr>
                <w:rFonts w:hint="default" w:ascii="Times New Roman" w:hAnsi="Times New Roman" w:eastAsia="宋体"/>
                <w:color w:val="000000"/>
                <w:sz w:val="24"/>
              </w:rPr>
            </w:pPr>
          </w:p>
        </w:tc>
      </w:tr>
    </w:tbl>
    <w:p>
      <w:pPr>
        <w:spacing w:line="480" w:lineRule="exact"/>
        <w:outlineLvl w:val="9"/>
        <w:rPr>
          <w:rFonts w:hint="default" w:ascii="仿宋_GB2312" w:hAnsi="楷体" w:eastAsia="仿宋_GB2312"/>
          <w:color w:val="0000FF"/>
          <w:sz w:val="24"/>
        </w:rPr>
      </w:pPr>
    </w:p>
    <w:p>
      <w:pPr>
        <w:spacing w:before="156" w:beforeLines="50" w:after="156" w:afterLines="50" w:line="480" w:lineRule="exact"/>
        <w:outlineLvl w:val="0"/>
        <w:rPr>
          <w:rFonts w:hint="default" w:ascii="黑体" w:eastAsia="黑体"/>
          <w:b/>
          <w:sz w:val="24"/>
        </w:rPr>
      </w:pPr>
      <w:r>
        <w:rPr>
          <w:rFonts w:ascii="黑体" w:eastAsia="黑体"/>
          <w:b/>
          <w:sz w:val="24"/>
        </w:rPr>
        <w:t>三、其他有助于理解本申请提案的技术资料</w:t>
      </w:r>
    </w:p>
    <w:tbl>
      <w:tblPr>
        <w:tblStyle w:val="10"/>
        <w:tblW w:w="928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28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trPr>
        <w:tc>
          <w:tcPr>
            <w:tcW w:w="9288" w:type="dxa"/>
            <w:tcBorders>
              <w:top w:val="single" w:color="auto" w:sz="4" w:space="0"/>
              <w:left w:val="single" w:color="auto" w:sz="4" w:space="0"/>
              <w:bottom w:val="single" w:color="auto" w:sz="4" w:space="0"/>
              <w:right w:val="single" w:color="auto" w:sz="4" w:space="0"/>
              <w:tl2br w:val="nil"/>
              <w:tr2bl w:val="nil"/>
            </w:tcBorders>
          </w:tcPr>
          <w:p>
            <w:pPr>
              <w:spacing w:line="480" w:lineRule="exact"/>
              <w:ind w:firstLine="480" w:firstLineChars="200"/>
              <w:outlineLvl w:val="0"/>
              <w:rPr>
                <w:rFonts w:hint="default" w:ascii="Times New Roman" w:hAnsi="Times New Roman" w:eastAsia="楷体"/>
                <w:b/>
                <w:szCs w:val="24"/>
              </w:rPr>
            </w:pPr>
            <w:r>
              <w:rPr>
                <w:rFonts w:ascii="Times New Roman" w:hAnsi="Times New Roman" w:eastAsia="楷体"/>
                <w:color w:val="0000FF"/>
                <w:sz w:val="24"/>
              </w:rPr>
              <w:t>例如相关技术的专利号或者参考文献等。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trPr>
        <w:tc>
          <w:tcPr>
            <w:tcW w:w="9288" w:type="dxa"/>
            <w:tcBorders>
              <w:top w:val="single" w:color="auto" w:sz="4" w:space="0"/>
              <w:left w:val="single" w:color="auto" w:sz="4" w:space="0"/>
              <w:bottom w:val="single" w:color="auto" w:sz="4" w:space="0"/>
              <w:right w:val="single" w:color="auto" w:sz="4" w:space="0"/>
              <w:tl2br w:val="nil"/>
              <w:tr2bl w:val="nil"/>
            </w:tcBorders>
          </w:tcPr>
          <w:p>
            <w:pPr>
              <w:jc w:val="center"/>
              <w:outlineLvl w:val="0"/>
              <w:rPr>
                <w:rFonts w:hint="default" w:ascii="仿宋_GB2312" w:hAnsi="楷体" w:eastAsia="仿宋_GB2312"/>
                <w:color w:val="000000"/>
                <w:sz w:val="24"/>
              </w:rPr>
            </w:pPr>
          </w:p>
          <w:p>
            <w:pPr>
              <w:ind w:firstLine="480" w:firstLineChars="200"/>
              <w:jc w:val="center"/>
              <w:outlineLvl w:val="0"/>
              <w:rPr>
                <w:rFonts w:hint="default" w:ascii="仿宋_GB2312" w:hAnsi="楷体" w:eastAsia="仿宋_GB2312"/>
                <w:color w:val="000000"/>
                <w:sz w:val="24"/>
              </w:rPr>
            </w:pPr>
            <w:r>
              <w:rPr>
                <w:rFonts w:ascii="仿宋_GB2312" w:hAnsi="楷体" w:eastAsia="仿宋_GB2312"/>
                <w:color w:val="000000"/>
                <w:sz w:val="24"/>
              </w:rPr>
              <w:t xml:space="preserve">     </w:t>
            </w:r>
          </w:p>
        </w:tc>
      </w:tr>
    </w:tbl>
    <w:p>
      <w:pPr>
        <w:widowControl/>
        <w:numPr>
          <w:ilvl w:val="0"/>
          <w:numId w:val="0"/>
        </w:numPr>
        <w:spacing w:beforeAutospacing="1" w:afterAutospacing="1"/>
        <w:rPr>
          <w:rFonts w:hint="default"/>
        </w:rPr>
      </w:pPr>
    </w:p>
    <w:p>
      <w:pPr>
        <w:widowControl/>
        <w:ind w:left="720"/>
        <w:jc w:val="left"/>
        <w:rPr>
          <w:rFonts w:hint="default"/>
        </w:rPr>
      </w:pPr>
      <w:r>
        <w:rPr>
          <w:rFonts w:ascii="宋体" w:hAnsi="宋体" w:eastAsia="宋体" w:cs="宋体"/>
          <w:kern w:val="0"/>
          <w:sz w:val="24"/>
          <w:szCs w:val="24"/>
          <w:lang w:bidi="ar"/>
        </w:rPr>
        <w:t> </w:t>
      </w:r>
    </w:p>
    <w:p>
      <w:pPr>
        <w:rPr>
          <w:rFonts w:hint="default" w:cs="Arial"/>
          <w:b/>
          <w:szCs w:val="21"/>
        </w:rPr>
      </w:pPr>
    </w:p>
    <w:p>
      <w:pPr>
        <w:rPr>
          <w:rFonts w:hint="default"/>
        </w:rPr>
      </w:pPr>
    </w:p>
    <w:sectPr>
      <w:headerReference r:id="rId3" w:type="default"/>
      <w:footerReference r:id="rId4" w:type="default"/>
      <w:pgSz w:w="11906" w:h="16838"/>
      <w:pgMar w:top="1440" w:right="1800" w:bottom="1440" w:left="1800" w:header="851" w:footer="992" w:gutter="0"/>
      <w:pgNumType w:start="0"/>
      <w:cols w:space="720"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楷体_GB2312">
    <w:altName w:val="楷体"/>
    <w:panose1 w:val="00000000000000000000"/>
    <w:charset w:val="86"/>
    <w:family w:val="modern"/>
    <w:pitch w:val="default"/>
    <w:sig w:usb0="00000000" w:usb1="00000000" w:usb2="00000000" w:usb3="00000000" w:csb0="00040000" w:csb1="00000000"/>
  </w:font>
  <w:font w:name="楷体">
    <w:panose1 w:val="02010609060101010101"/>
    <w:charset w:val="86"/>
    <w:family w:val="modern"/>
    <w:pitch w:val="default"/>
    <w:sig w:usb0="800002BF" w:usb1="38CF7CFA" w:usb2="00000016" w:usb3="00000000" w:csb0="00040001" w:csb1="00000000"/>
  </w:font>
  <w:font w:name="+mn-cs">
    <w:altName w:val="Segoe Print"/>
    <w:panose1 w:val="00000000000000000000"/>
    <w:charset w:val="00"/>
    <w:family w:val="roman"/>
    <w:pitch w:val="default"/>
    <w:sig w:usb0="00000000" w:usb1="00000000" w:usb2="00000000" w:usb3="00000000" w:csb0="00000001" w:csb1="00000000"/>
  </w:font>
  <w:font w:name="仿宋_GB2312">
    <w:altName w:val="仿宋"/>
    <w:panose1 w:val="00000000000000000000"/>
    <w:charset w:val="86"/>
    <w:family w:val="modern"/>
    <w:pitch w:val="default"/>
    <w:sig w:usb0="00000000" w:usb1="00000000" w:usb2="00000010" w:usb3="00000000" w:csb0="00040000" w:csb1="00000000"/>
  </w:font>
  <w:font w:name="Helvetica">
    <w:altName w:val="Arial"/>
    <w:panose1 w:val="020B0604020202020204"/>
    <w:charset w:val="00"/>
    <w:family w:val="auto"/>
    <w:pitch w:val="default"/>
    <w:sig w:usb0="00000000" w:usb1="00000000" w:usb2="00000000" w:usb3="00000000" w:csb0="00000001" w:csb1="00000000"/>
  </w:font>
  <w:font w:name="仿宋">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spacing w:before="120" w:after="120"/>
      <w:rPr>
        <w:rFonts w:hint="default"/>
      </w:rPr>
    </w:pPr>
    <w:r>
      <w:rPr>
        <w:rFonts w:hint="default"/>
      </w:rPr>
      <mc:AlternateContent>
        <mc:Choice Requires="wps">
          <w:drawing>
            <wp:anchor distT="0" distB="0" distL="114300" distR="114300" simplePos="0" relativeHeight="251659264" behindDoc="1" locked="0" layoutInCell="1" allowOverlap="1">
              <wp:simplePos x="0" y="0"/>
              <wp:positionH relativeFrom="column">
                <wp:posOffset>-1144270</wp:posOffset>
              </wp:positionH>
              <wp:positionV relativeFrom="page">
                <wp:posOffset>10217785</wp:posOffset>
              </wp:positionV>
              <wp:extent cx="7560310" cy="472440"/>
              <wp:effectExtent l="0" t="0" r="2540" b="3810"/>
              <wp:wrapNone/>
              <wp:docPr id="1" name="矩形 1"/>
              <wp:cNvGraphicFramePr/>
              <a:graphic xmlns:a="http://schemas.openxmlformats.org/drawingml/2006/main">
                <a:graphicData uri="http://schemas.microsoft.com/office/word/2010/wordprocessingShape">
                  <wps:wsp>
                    <wps:cNvSpPr/>
                    <wps:spPr>
                      <a:xfrm>
                        <a:off x="0" y="0"/>
                        <a:ext cx="7560310" cy="472440"/>
                      </a:xfrm>
                      <a:prstGeom prst="rect">
                        <a:avLst/>
                      </a:prstGeom>
                      <a:solidFill>
                        <a:srgbClr val="808080"/>
                      </a:solidFill>
                      <a:ln w="12700">
                        <a:noFill/>
                      </a:ln>
                    </wps:spPr>
                    <wps:bodyPr vert="horz" wrap="square" anchor="ctr" anchorCtr="0" upright="1"/>
                  </wps:wsp>
                </a:graphicData>
              </a:graphic>
            </wp:anchor>
          </w:drawing>
        </mc:Choice>
        <mc:Fallback>
          <w:pict>
            <v:rect id="_x0000_s1026" o:spid="_x0000_s1026" o:spt="1" style="position:absolute;left:0pt;margin-left:-90.1pt;margin-top:804.55pt;height:37.2pt;width:595.3pt;mso-position-vertical-relative:page;z-index:-251657216;v-text-anchor:middle;mso-width-relative:page;mso-height-relative:page;" fillcolor="#808080" filled="t" stroked="f" coordsize="21600,21600" o:gfxdata="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">
              <v:fill on="t" focussize="0,0"/>
              <v:stroke on="f" weight="1pt"/>
              <v:imagedata o:title=""/>
              <o:lock v:ext="edit" aspectratio="f"/>
            </v:rect>
          </w:pict>
        </mc:Fallback>
      </mc:AlternateContent>
    </w:r>
    <w:r>
      <w:rPr>
        <w:rFonts w:hint="default"/>
      </w:rPr>
      <mc:AlternateContent>
        <mc:Choice Requires="wps">
          <w:drawing>
            <wp:anchor distT="0" distB="0" distL="114300" distR="114300" simplePos="0" relativeHeight="251662336" behindDoc="0" locked="0" layoutInCell="1" allowOverlap="1">
              <wp:simplePos x="0" y="0"/>
              <wp:positionH relativeFrom="column">
                <wp:posOffset>-1019175</wp:posOffset>
              </wp:positionH>
              <wp:positionV relativeFrom="paragraph">
                <wp:posOffset>478155</wp:posOffset>
              </wp:positionV>
              <wp:extent cx="485775" cy="246380"/>
              <wp:effectExtent l="0" t="0" r="0" b="0"/>
              <wp:wrapNone/>
              <wp:docPr id="6" name="矩形 3"/>
              <wp:cNvGraphicFramePr/>
              <a:graphic xmlns:a="http://schemas.openxmlformats.org/drawingml/2006/main">
                <a:graphicData uri="http://schemas.microsoft.com/office/word/2010/wordprocessingShape">
                  <wps:wsp>
                    <wps:cNvSpPr/>
                    <wps:spPr>
                      <a:xfrm>
                        <a:off x="0" y="0"/>
                        <a:ext cx="485775" cy="246380"/>
                      </a:xfrm>
                      <a:prstGeom prst="rect">
                        <a:avLst/>
                      </a:prstGeom>
                      <a:noFill/>
                      <a:ln>
                        <a:noFill/>
                      </a:ln>
                    </wps:spPr>
                    <wps:txbx>
                      <w:txbxContent>
                        <w:p>
                          <w:pPr>
                            <w:pStyle w:val="9"/>
                            <w:spacing w:before="0" w:beforeAutospacing="0" w:after="0" w:afterAutospacing="0"/>
                            <w:rPr>
                              <w:rFonts w:hint="default" w:ascii="微软雅黑" w:hAnsi="微软雅黑" w:eastAsia="微软雅黑"/>
                              <w:b/>
                              <w:color w:val="FFFFFF"/>
                              <w:sz w:val="20"/>
                            </w:rPr>
                          </w:pPr>
                          <w:r>
                            <w:rPr>
                              <w:rFonts w:ascii="微软雅黑" w:hAnsi="微软雅黑" w:eastAsia="微软雅黑"/>
                              <w:b/>
                              <w:color w:val="FFFFFF"/>
                              <w:sz w:val="20"/>
                            </w:rPr>
                            <w:fldChar w:fldCharType="begin"/>
                          </w:r>
                          <w:r>
                            <w:rPr>
                              <w:rFonts w:ascii="微软雅黑" w:hAnsi="微软雅黑" w:eastAsia="微软雅黑"/>
                              <w:b/>
                              <w:color w:val="FFFFFF"/>
                              <w:sz w:val="20"/>
                            </w:rPr>
                            <w:instrText xml:space="preserve">PAGE   \* MERGEFORMAT</w:instrText>
                          </w:r>
                          <w:r>
                            <w:rPr>
                              <w:rFonts w:ascii="微软雅黑" w:hAnsi="微软雅黑" w:eastAsia="微软雅黑"/>
                              <w:b/>
                              <w:color w:val="FFFFFF"/>
                              <w:sz w:val="20"/>
                            </w:rPr>
                            <w:fldChar w:fldCharType="separate"/>
                          </w:r>
                          <w:r>
                            <w:rPr>
                              <w:rFonts w:ascii="微软雅黑" w:hAnsi="微软雅黑" w:eastAsia="微软雅黑"/>
                              <w:b/>
                              <w:color w:val="FFFFFF"/>
                              <w:sz w:val="20"/>
                              <w:lang w:val="zh-CN"/>
                            </w:rPr>
                            <w:t>4</w:t>
                          </w:r>
                          <w:r>
                            <w:rPr>
                              <w:rFonts w:ascii="微软雅黑" w:hAnsi="微软雅黑" w:eastAsia="微软雅黑"/>
                              <w:b/>
                              <w:color w:val="FFFFFF"/>
                              <w:sz w:val="20"/>
                              <w:lang w:val="zh-CN"/>
                            </w:rPr>
                            <w:fldChar w:fldCharType="end"/>
                          </w:r>
                        </w:p>
                      </w:txbxContent>
                    </wps:txbx>
                    <wps:bodyPr vert="horz" wrap="square" anchor="t" anchorCtr="0" upright="1">
                      <a:spAutoFit/>
                    </wps:bodyPr>
                  </wps:wsp>
                </a:graphicData>
              </a:graphic>
            </wp:anchor>
          </w:drawing>
        </mc:Choice>
        <mc:Fallback>
          <w:pict>
            <v:rect id="矩形 3" o:spid="_x0000_s1026" o:spt="1" style="position:absolute;left:0pt;margin-left:-80.25pt;margin-top:37.65pt;height:19.4pt;width:38.25pt;z-index:251662336;mso-width-relative:page;mso-height-relative:page;" filled="f" stroked="f" coordsize="21600,21600" o:gfxdata="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GpZ9wXaAAAACwEAAA8AAAAAAAAAAQAgAAAAIgAA&#10;AGRycy9kb3ducmV2LnhtbFBLAQIUABQAAAAIAIdO4kCNgIS0zQEAAI0DAAAOAAAAAAAAAAEAIAAA&#10;ACkBAABkcnMvZTJvRG9jLnhtbFBLBQYAAAAABgAGAFkBAABoBQAAAAA=&#10;">
              <v:fill on="f" focussize="0,0"/>
              <v:stroke on="f"/>
              <v:imagedata o:title=""/>
              <o:lock v:ext="edit" aspectratio="f"/>
              <v:textbox style="mso-fit-shape-to-text:t;">
                <w:txbxContent>
                  <w:p>
                    <w:pPr>
                      <w:pStyle w:val="9"/>
                      <w:spacing w:before="0" w:beforeAutospacing="0" w:after="0" w:afterAutospacing="0"/>
                      <w:rPr>
                        <w:rFonts w:hint="default" w:ascii="微软雅黑" w:hAnsi="微软雅黑" w:eastAsia="微软雅黑"/>
                        <w:b/>
                        <w:color w:val="FFFFFF"/>
                        <w:sz w:val="20"/>
                      </w:rPr>
                    </w:pPr>
                    <w:r>
                      <w:rPr>
                        <w:rFonts w:ascii="微软雅黑" w:hAnsi="微软雅黑" w:eastAsia="微软雅黑"/>
                        <w:b/>
                        <w:color w:val="FFFFFF"/>
                        <w:sz w:val="20"/>
                      </w:rPr>
                      <w:fldChar w:fldCharType="begin"/>
                    </w:r>
                    <w:r>
                      <w:rPr>
                        <w:rFonts w:ascii="微软雅黑" w:hAnsi="微软雅黑" w:eastAsia="微软雅黑"/>
                        <w:b/>
                        <w:color w:val="FFFFFF"/>
                        <w:sz w:val="20"/>
                      </w:rPr>
                      <w:instrText xml:space="preserve">PAGE   \* MERGEFORMAT</w:instrText>
                    </w:r>
                    <w:r>
                      <w:rPr>
                        <w:rFonts w:ascii="微软雅黑" w:hAnsi="微软雅黑" w:eastAsia="微软雅黑"/>
                        <w:b/>
                        <w:color w:val="FFFFFF"/>
                        <w:sz w:val="20"/>
                      </w:rPr>
                      <w:fldChar w:fldCharType="separate"/>
                    </w:r>
                    <w:r>
                      <w:rPr>
                        <w:rFonts w:ascii="微软雅黑" w:hAnsi="微软雅黑" w:eastAsia="微软雅黑"/>
                        <w:b/>
                        <w:color w:val="FFFFFF"/>
                        <w:sz w:val="20"/>
                        <w:lang w:val="zh-CN"/>
                      </w:rPr>
                      <w:t>4</w:t>
                    </w:r>
                    <w:r>
                      <w:rPr>
                        <w:rFonts w:ascii="微软雅黑" w:hAnsi="微软雅黑" w:eastAsia="微软雅黑"/>
                        <w:b/>
                        <w:color w:val="FFFFFF"/>
                        <w:sz w:val="20"/>
                        <w:lang w:val="zh-CN"/>
                      </w:rPr>
                      <w:fldChar w:fldCharType="end"/>
                    </w:r>
                  </w:p>
                </w:txbxContent>
              </v:textbox>
            </v:rect>
          </w:pict>
        </mc:Fallback>
      </mc:AlternateContent>
    </w:r>
    <w:r>
      <w:rPr>
        <w:rFonts w:hint="default"/>
      </w:rPr>
      <mc:AlternateContent>
        <mc:Choice Requires="wps">
          <w:drawing>
            <wp:anchor distT="0" distB="0" distL="114300" distR="114300" simplePos="0" relativeHeight="251661312" behindDoc="0" locked="0" layoutInCell="1" allowOverlap="1">
              <wp:simplePos x="0" y="0"/>
              <wp:positionH relativeFrom="column">
                <wp:posOffset>2748280</wp:posOffset>
              </wp:positionH>
              <wp:positionV relativeFrom="paragraph">
                <wp:posOffset>499745</wp:posOffset>
              </wp:positionV>
              <wp:extent cx="3454400" cy="215265"/>
              <wp:effectExtent l="0" t="0" r="0" b="0"/>
              <wp:wrapNone/>
              <wp:docPr id="3" name="矩形 2"/>
              <wp:cNvGraphicFramePr/>
              <a:graphic xmlns:a="http://schemas.openxmlformats.org/drawingml/2006/main">
                <a:graphicData uri="http://schemas.microsoft.com/office/word/2010/wordprocessingShape">
                  <wps:wsp>
                    <wps:cNvSpPr/>
                    <wps:spPr>
                      <a:xfrm>
                        <a:off x="0" y="0"/>
                        <a:ext cx="3454400" cy="215265"/>
                      </a:xfrm>
                      <a:prstGeom prst="rect">
                        <a:avLst/>
                      </a:prstGeom>
                      <a:noFill/>
                      <a:ln>
                        <a:noFill/>
                      </a:ln>
                    </wps:spPr>
                    <wps:txbx>
                      <w:txbxContent>
                        <w:p>
                          <w:pPr>
                            <w:pStyle w:val="9"/>
                            <w:spacing w:before="0" w:beforeAutospacing="0" w:after="0" w:afterAutospacing="0"/>
                            <w:jc w:val="right"/>
                            <w:rPr>
                              <w:rFonts w:hint="default"/>
                            </w:rPr>
                          </w:pPr>
                          <w:r>
                            <w:rPr>
                              <w:rFonts w:ascii="微软雅黑" w:hAnsi="微软雅黑" w:eastAsia="微软雅黑" w:cs="+mn-cs"/>
                              <w:color w:val="FFFFFF"/>
                              <w:kern w:val="24"/>
                              <w:sz w:val="16"/>
                              <w:szCs w:val="16"/>
                            </w:rPr>
                            <w:t>@2016 CHOFN INTELLECTUAL PROPERTY.  ALL RIGHTS RESERVED</w:t>
                          </w:r>
                        </w:p>
                      </w:txbxContent>
                    </wps:txbx>
                    <wps:bodyPr vert="horz" wrap="square" anchor="t" anchorCtr="0" upright="1">
                      <a:spAutoFit/>
                    </wps:bodyPr>
                  </wps:wsp>
                </a:graphicData>
              </a:graphic>
            </wp:anchor>
          </w:drawing>
        </mc:Choice>
        <mc:Fallback>
          <w:pict>
            <v:rect id="矩形 2" o:spid="_x0000_s1026" o:spt="1" style="position:absolute;left:0pt;margin-left:216.4pt;margin-top:39.35pt;height:16.95pt;width:272pt;z-index:251661312;mso-width-relative:page;mso-height-relative:page;" filled="f" stroked="f" coordsize="21600,21600" o:gfxdata="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uA09v9kAAAAKAQAADwAAAAAAAAABACAAAAAiAAAA&#10;ZHJzL2Rvd25yZXYueG1sUEsBAhQAFAAAAAgAh07iQISiUgPNAQAAjgMAAA4AAAAAAAAAAQAgAAAA&#10;KAEAAGRycy9lMm9Eb2MueG1sUEsFBgAAAAAGAAYAWQEAAGcFAAAAAA==&#10;">
              <v:fill on="f" focussize="0,0"/>
              <v:stroke on="f"/>
              <v:imagedata o:title=""/>
              <o:lock v:ext="edit" aspectratio="f"/>
              <v:textbox style="mso-fit-shape-to-text:t;">
                <w:txbxContent>
                  <w:p>
                    <w:pPr>
                      <w:pStyle w:val="9"/>
                      <w:spacing w:before="0" w:beforeAutospacing="0" w:after="0" w:afterAutospacing="0"/>
                      <w:jc w:val="right"/>
                      <w:rPr>
                        <w:rFonts w:hint="default"/>
                      </w:rPr>
                    </w:pPr>
                    <w:r>
                      <w:rPr>
                        <w:rFonts w:ascii="微软雅黑" w:hAnsi="微软雅黑" w:eastAsia="微软雅黑" w:cs="+mn-cs"/>
                        <w:color w:val="FFFFFF"/>
                        <w:kern w:val="24"/>
                        <w:sz w:val="16"/>
                        <w:szCs w:val="16"/>
                      </w:rPr>
                      <w:t>@2016 CHOFN INTELLECTUAL PROPERTY.  ALL RIGHTS RESERVED</w:t>
                    </w:r>
                  </w:p>
                </w:txbxContent>
              </v:textbox>
            </v:rect>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pBdr>
        <w:bottom w:val="none" w:color="auto" w:sz="0" w:space="0"/>
      </w:pBdr>
      <w:spacing w:before="120" w:after="120"/>
      <w:rPr>
        <w:rFonts w:hint="default"/>
      </w:rPr>
    </w:pPr>
    <w:r>
      <w:rPr>
        <w:rFonts w:hint="default"/>
      </w:rPr>
      <mc:AlternateContent>
        <mc:Choice Requires="wps">
          <w:drawing>
            <wp:anchor distT="0" distB="0" distL="114300" distR="114300" simplePos="0" relativeHeight="251660288" behindDoc="1" locked="0" layoutInCell="1" allowOverlap="1">
              <wp:simplePos x="0" y="0"/>
              <wp:positionH relativeFrom="margin">
                <wp:posOffset>-220345</wp:posOffset>
              </wp:positionH>
              <wp:positionV relativeFrom="page">
                <wp:align>top</wp:align>
              </wp:positionV>
              <wp:extent cx="467995" cy="720090"/>
              <wp:effectExtent l="0" t="0" r="8255" b="3810"/>
              <wp:wrapNone/>
              <wp:docPr id="2" name="矩形 4"/>
              <wp:cNvGraphicFramePr/>
              <a:graphic xmlns:a="http://schemas.openxmlformats.org/drawingml/2006/main">
                <a:graphicData uri="http://schemas.microsoft.com/office/word/2010/wordprocessingShape">
                  <wps:wsp>
                    <wps:cNvSpPr/>
                    <wps:spPr>
                      <a:xfrm>
                        <a:off x="0" y="0"/>
                        <a:ext cx="467995" cy="720090"/>
                      </a:xfrm>
                      <a:prstGeom prst="rect">
                        <a:avLst/>
                      </a:prstGeom>
                      <a:solidFill>
                        <a:srgbClr val="ED7717"/>
                      </a:solidFill>
                      <a:ln w="12700">
                        <a:noFill/>
                      </a:ln>
                    </wps:spPr>
                    <wps:bodyPr vert="horz" wrap="square" anchor="ctr" anchorCtr="0" upright="1"/>
                  </wps:wsp>
                </a:graphicData>
              </a:graphic>
            </wp:anchor>
          </w:drawing>
        </mc:Choice>
        <mc:Fallback>
          <w:pict>
            <v:rect id="矩形 4" o:spid="_x0000_s1026" o:spt="1" style="position:absolute;left:0pt;margin-left:-17.35pt;height:56.7pt;width:36.85pt;mso-position-horizontal-relative:margin;mso-position-vertical:top;mso-position-vertical-relative:page;z-index:-251656192;v-text-anchor:middle;mso-width-relative:page;mso-height-relative:page;" fillcolor="#ED7717" filled="t" stroked="f" coordsize="21600,21600" o:gfxdata="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Cn3a6I1gAAAAcBAAAPAAAAAAAA&#10;AAEAIAAAACIAAABkcnMvZG93bnJldi54bWxQSwECFAAUAAAACACHTuJA0pdCt9sBAACdAwAADgAA&#10;AAAAAAABACAAAAAlAQAAZHJzL2Uyb0RvYy54bWxQSwUGAAAAAAYABgBZAQAAcgUAAAAA&#10;">
              <v:fill on="t" focussize="0,0"/>
              <v:stroke on="f" weight="1pt"/>
              <v:imagedata o:title=""/>
              <o:lock v:ext="edit" aspectratio="f"/>
            </v:rect>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C4C4FDB"/>
    <w:multiLevelType w:val="multilevel"/>
    <w:tmpl w:val="1C4C4FDB"/>
    <w:lvl w:ilvl="0" w:tentative="0">
      <w:start w:val="1"/>
      <w:numFmt w:val="decimal"/>
      <w:lvlText w:val="%1．"/>
      <w:lvlJc w:val="left"/>
      <w:pPr>
        <w:ind w:left="375" w:hanging="375"/>
      </w:pPr>
      <w:rPr>
        <w:rFonts w:hint="default"/>
        <w:u w:val="none"/>
      </w:rPr>
    </w:lvl>
    <w:lvl w:ilvl="1" w:tentative="0">
      <w:start w:val="1"/>
      <w:numFmt w:val="lowerLetter"/>
      <w:lvlText w:val="%2)"/>
      <w:lvlJc w:val="left"/>
      <w:pPr>
        <w:ind w:left="840" w:hanging="420"/>
      </w:pPr>
      <w:rPr>
        <w:rFonts w:hint="default"/>
        <w:u w:val="none"/>
      </w:rPr>
    </w:lvl>
    <w:lvl w:ilvl="2" w:tentative="0">
      <w:start w:val="1"/>
      <w:numFmt w:val="lowerRoman"/>
      <w:lvlText w:val="%3."/>
      <w:lvlJc w:val="right"/>
      <w:pPr>
        <w:ind w:left="1260" w:hanging="420"/>
      </w:pPr>
      <w:rPr>
        <w:rFonts w:hint="default"/>
        <w:u w:val="none"/>
      </w:rPr>
    </w:lvl>
    <w:lvl w:ilvl="3" w:tentative="0">
      <w:start w:val="1"/>
      <w:numFmt w:val="decimal"/>
      <w:lvlText w:val="%4."/>
      <w:lvlJc w:val="left"/>
      <w:pPr>
        <w:ind w:left="1680" w:hanging="420"/>
      </w:pPr>
      <w:rPr>
        <w:rFonts w:hint="default"/>
        <w:u w:val="none"/>
      </w:rPr>
    </w:lvl>
    <w:lvl w:ilvl="4" w:tentative="0">
      <w:start w:val="1"/>
      <w:numFmt w:val="lowerLetter"/>
      <w:lvlText w:val="%5)"/>
      <w:lvlJc w:val="left"/>
      <w:pPr>
        <w:ind w:left="2100" w:hanging="420"/>
      </w:pPr>
      <w:rPr>
        <w:rFonts w:hint="default"/>
        <w:u w:val="none"/>
      </w:rPr>
    </w:lvl>
    <w:lvl w:ilvl="5" w:tentative="0">
      <w:start w:val="1"/>
      <w:numFmt w:val="lowerRoman"/>
      <w:lvlText w:val="%6."/>
      <w:lvlJc w:val="right"/>
      <w:pPr>
        <w:ind w:left="2520" w:hanging="420"/>
      </w:pPr>
      <w:rPr>
        <w:rFonts w:hint="default"/>
        <w:u w:val="none"/>
      </w:rPr>
    </w:lvl>
    <w:lvl w:ilvl="6" w:tentative="0">
      <w:start w:val="1"/>
      <w:numFmt w:val="decimal"/>
      <w:lvlText w:val="%7."/>
      <w:lvlJc w:val="left"/>
      <w:pPr>
        <w:ind w:left="2940" w:hanging="420"/>
      </w:pPr>
      <w:rPr>
        <w:rFonts w:hint="default"/>
        <w:u w:val="none"/>
      </w:rPr>
    </w:lvl>
    <w:lvl w:ilvl="7" w:tentative="0">
      <w:start w:val="1"/>
      <w:numFmt w:val="lowerLetter"/>
      <w:lvlText w:val="%8)"/>
      <w:lvlJc w:val="left"/>
      <w:pPr>
        <w:ind w:left="3360" w:hanging="420"/>
      </w:pPr>
      <w:rPr>
        <w:rFonts w:hint="default"/>
        <w:u w:val="none"/>
      </w:rPr>
    </w:lvl>
    <w:lvl w:ilvl="8" w:tentative="0">
      <w:start w:val="1"/>
      <w:numFmt w:val="lowerRoman"/>
      <w:lvlText w:val="%9."/>
      <w:lvlJc w:val="right"/>
      <w:pPr>
        <w:ind w:left="3780" w:hanging="420"/>
      </w:pPr>
      <w:rPr>
        <w:rFonts w:hint="default"/>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NbU0NjOwNDc1MjUyMTZW0lEKTi0uzszPAykwrAUAq5IgqywAAAA="/>
    <w:docVar w:name="commondata" w:val="eyJoZGlkIjoiZGI0ZmRhZmUwNjA3YWRjZGFjYTUxMDE4OGFiMmM4MTEifQ=="/>
  </w:docVars>
  <w:rsids>
    <w:rsidRoot w:val="00172A27"/>
    <w:rsid w:val="0003772B"/>
    <w:rsid w:val="00172A27"/>
    <w:rsid w:val="002A3FF7"/>
    <w:rsid w:val="0035419E"/>
    <w:rsid w:val="003C1B5D"/>
    <w:rsid w:val="0048198F"/>
    <w:rsid w:val="004C2EE3"/>
    <w:rsid w:val="004C36F4"/>
    <w:rsid w:val="00530E36"/>
    <w:rsid w:val="0076349B"/>
    <w:rsid w:val="007C5737"/>
    <w:rsid w:val="008161E8"/>
    <w:rsid w:val="00B02370"/>
    <w:rsid w:val="00B5536D"/>
    <w:rsid w:val="00C85F20"/>
    <w:rsid w:val="00CB38DE"/>
    <w:rsid w:val="00CC6E9C"/>
    <w:rsid w:val="00F83437"/>
    <w:rsid w:val="01D537F4"/>
    <w:rsid w:val="03FD520D"/>
    <w:rsid w:val="04626D45"/>
    <w:rsid w:val="04842EB6"/>
    <w:rsid w:val="06DE4E27"/>
    <w:rsid w:val="07A73C1C"/>
    <w:rsid w:val="0828199A"/>
    <w:rsid w:val="086F75C9"/>
    <w:rsid w:val="08AB37C6"/>
    <w:rsid w:val="099D3F68"/>
    <w:rsid w:val="0A143E62"/>
    <w:rsid w:val="0A386204"/>
    <w:rsid w:val="0CD4131B"/>
    <w:rsid w:val="0D46648F"/>
    <w:rsid w:val="0F8A4C4C"/>
    <w:rsid w:val="10352EA6"/>
    <w:rsid w:val="11E81F4B"/>
    <w:rsid w:val="126D722E"/>
    <w:rsid w:val="127708F3"/>
    <w:rsid w:val="12A64154"/>
    <w:rsid w:val="12AF0CEE"/>
    <w:rsid w:val="135E6CD6"/>
    <w:rsid w:val="15331EAF"/>
    <w:rsid w:val="17840496"/>
    <w:rsid w:val="18025577"/>
    <w:rsid w:val="189C40B5"/>
    <w:rsid w:val="19C21C4E"/>
    <w:rsid w:val="1B3F107D"/>
    <w:rsid w:val="1E116D00"/>
    <w:rsid w:val="1E4A2212"/>
    <w:rsid w:val="1E57483A"/>
    <w:rsid w:val="2042745C"/>
    <w:rsid w:val="20B120D5"/>
    <w:rsid w:val="20D91D13"/>
    <w:rsid w:val="232748D0"/>
    <w:rsid w:val="235F050E"/>
    <w:rsid w:val="237D26A8"/>
    <w:rsid w:val="23A84531"/>
    <w:rsid w:val="246F29D3"/>
    <w:rsid w:val="280153A2"/>
    <w:rsid w:val="282C1CD0"/>
    <w:rsid w:val="29865324"/>
    <w:rsid w:val="2A1D4C7F"/>
    <w:rsid w:val="2EBF00B3"/>
    <w:rsid w:val="2EC67454"/>
    <w:rsid w:val="2F150878"/>
    <w:rsid w:val="301B428D"/>
    <w:rsid w:val="30D90532"/>
    <w:rsid w:val="3440355F"/>
    <w:rsid w:val="35DE54D7"/>
    <w:rsid w:val="35F14916"/>
    <w:rsid w:val="35FC3237"/>
    <w:rsid w:val="3AC802EF"/>
    <w:rsid w:val="3C3B37D6"/>
    <w:rsid w:val="40A81204"/>
    <w:rsid w:val="4101455B"/>
    <w:rsid w:val="42BA2BD6"/>
    <w:rsid w:val="42F11BFD"/>
    <w:rsid w:val="432775FD"/>
    <w:rsid w:val="43696F7C"/>
    <w:rsid w:val="43775ABD"/>
    <w:rsid w:val="43AD22FB"/>
    <w:rsid w:val="452D175E"/>
    <w:rsid w:val="45F851B7"/>
    <w:rsid w:val="46943840"/>
    <w:rsid w:val="47244ADC"/>
    <w:rsid w:val="489B3B14"/>
    <w:rsid w:val="489C351F"/>
    <w:rsid w:val="49B22075"/>
    <w:rsid w:val="49CA7BE0"/>
    <w:rsid w:val="4B720D84"/>
    <w:rsid w:val="4C9D782D"/>
    <w:rsid w:val="4CDF4D9A"/>
    <w:rsid w:val="4CF01B47"/>
    <w:rsid w:val="4EBE7F2F"/>
    <w:rsid w:val="4FD363FC"/>
    <w:rsid w:val="50947199"/>
    <w:rsid w:val="50AF18DD"/>
    <w:rsid w:val="51342F86"/>
    <w:rsid w:val="5144471C"/>
    <w:rsid w:val="51CD49D4"/>
    <w:rsid w:val="53C814C0"/>
    <w:rsid w:val="54530E20"/>
    <w:rsid w:val="55705D11"/>
    <w:rsid w:val="560329B1"/>
    <w:rsid w:val="571B54DA"/>
    <w:rsid w:val="58692CBA"/>
    <w:rsid w:val="59384764"/>
    <w:rsid w:val="5BB86E12"/>
    <w:rsid w:val="5D8D32AF"/>
    <w:rsid w:val="5DBB5D65"/>
    <w:rsid w:val="5F2A1E1A"/>
    <w:rsid w:val="5F9860B8"/>
    <w:rsid w:val="607524D0"/>
    <w:rsid w:val="60795A64"/>
    <w:rsid w:val="614D0978"/>
    <w:rsid w:val="61703031"/>
    <w:rsid w:val="64B96BE8"/>
    <w:rsid w:val="66C85DEF"/>
    <w:rsid w:val="67845FA8"/>
    <w:rsid w:val="694748EE"/>
    <w:rsid w:val="69496BDD"/>
    <w:rsid w:val="6A2949E1"/>
    <w:rsid w:val="6D170ADE"/>
    <w:rsid w:val="6DD3099F"/>
    <w:rsid w:val="6EAE0D20"/>
    <w:rsid w:val="702830D6"/>
    <w:rsid w:val="71141C26"/>
    <w:rsid w:val="72A37EB8"/>
    <w:rsid w:val="731C6E4F"/>
    <w:rsid w:val="73532145"/>
    <w:rsid w:val="74F33324"/>
    <w:rsid w:val="754C4F04"/>
    <w:rsid w:val="757C6290"/>
    <w:rsid w:val="762D4E97"/>
    <w:rsid w:val="76A6290A"/>
    <w:rsid w:val="76D94ED5"/>
    <w:rsid w:val="770737D2"/>
    <w:rsid w:val="77080CCA"/>
    <w:rsid w:val="775B1A14"/>
    <w:rsid w:val="78794CDE"/>
    <w:rsid w:val="789C39C3"/>
    <w:rsid w:val="79B26E68"/>
    <w:rsid w:val="7AFA62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unhideWhenUsed/>
    <w:qFormat/>
    <w:uiPriority w:val="0"/>
    <w:pPr>
      <w:widowControl w:val="0"/>
      <w:jc w:val="both"/>
    </w:pPr>
    <w:rPr>
      <w:rFonts w:hint="eastAsia" w:ascii="微软雅黑" w:hAnsi="微软雅黑" w:eastAsia="微软雅黑" w:cs="Times New Roman"/>
      <w:kern w:val="2"/>
      <w:sz w:val="21"/>
      <w:szCs w:val="22"/>
      <w:lang w:val="en-US" w:eastAsia="zh-CN" w:bidi="ar-SA"/>
    </w:rPr>
  </w:style>
  <w:style w:type="paragraph" w:styleId="2">
    <w:name w:val="heading 1"/>
    <w:basedOn w:val="1"/>
    <w:next w:val="1"/>
    <w:autoRedefine/>
    <w:qFormat/>
    <w:uiPriority w:val="0"/>
    <w:pPr>
      <w:keepNext/>
      <w:keepLines/>
      <w:spacing w:before="340" w:after="330" w:line="576" w:lineRule="auto"/>
      <w:outlineLvl w:val="0"/>
    </w:pPr>
    <w:rPr>
      <w:b/>
      <w:kern w:val="44"/>
      <w:sz w:val="44"/>
    </w:rPr>
  </w:style>
  <w:style w:type="paragraph" w:styleId="3">
    <w:name w:val="heading 2"/>
    <w:basedOn w:val="1"/>
    <w:next w:val="1"/>
    <w:autoRedefine/>
    <w:unhideWhenUsed/>
    <w:qFormat/>
    <w:uiPriority w:val="0"/>
    <w:pPr>
      <w:keepNext/>
      <w:keepLines/>
      <w:spacing w:before="260" w:after="260" w:line="413" w:lineRule="auto"/>
      <w:outlineLvl w:val="1"/>
    </w:pPr>
    <w:rPr>
      <w:rFonts w:ascii="Arial" w:hAnsi="Arial" w:eastAsia="黑体"/>
      <w:b/>
      <w:sz w:val="32"/>
    </w:rPr>
  </w:style>
  <w:style w:type="paragraph" w:styleId="4">
    <w:name w:val="heading 3"/>
    <w:basedOn w:val="1"/>
    <w:next w:val="1"/>
    <w:autoRedefine/>
    <w:unhideWhenUsed/>
    <w:qFormat/>
    <w:uiPriority w:val="0"/>
    <w:pPr>
      <w:spacing w:beforeAutospacing="1" w:afterAutospacing="1"/>
      <w:jc w:val="left"/>
      <w:outlineLvl w:val="2"/>
    </w:pPr>
    <w:rPr>
      <w:rFonts w:ascii="宋体" w:hAnsi="宋体" w:eastAsia="宋体"/>
      <w:b/>
      <w:bCs/>
      <w:kern w:val="0"/>
      <w:sz w:val="27"/>
      <w:szCs w:val="27"/>
    </w:rPr>
  </w:style>
  <w:style w:type="character" w:default="1" w:styleId="12">
    <w:name w:val="Default Paragraph Font"/>
    <w:semiHidden/>
    <w:unhideWhenUsed/>
    <w:uiPriority w:val="1"/>
  </w:style>
  <w:style w:type="table" w:default="1" w:styleId="10">
    <w:name w:val="Normal Table"/>
    <w:semiHidden/>
    <w:unhideWhenUsed/>
    <w:uiPriority w:val="99"/>
    <w:tblPr>
      <w:tblCellMar>
        <w:top w:w="0" w:type="dxa"/>
        <w:left w:w="108" w:type="dxa"/>
        <w:bottom w:w="0" w:type="dxa"/>
        <w:right w:w="108" w:type="dxa"/>
      </w:tblCellMar>
    </w:tblPr>
  </w:style>
  <w:style w:type="paragraph" w:styleId="5">
    <w:name w:val="annotation text"/>
    <w:basedOn w:val="1"/>
    <w:autoRedefine/>
    <w:qFormat/>
    <w:uiPriority w:val="0"/>
    <w:pPr>
      <w:jc w:val="left"/>
    </w:pPr>
  </w:style>
  <w:style w:type="paragraph" w:styleId="6">
    <w:name w:val="Balloon Text"/>
    <w:basedOn w:val="1"/>
    <w:link w:val="16"/>
    <w:uiPriority w:val="0"/>
    <w:rPr>
      <w:sz w:val="18"/>
      <w:szCs w:val="18"/>
    </w:rPr>
  </w:style>
  <w:style w:type="paragraph" w:styleId="7">
    <w:name w:val="footer"/>
    <w:basedOn w:val="1"/>
    <w:autoRedefine/>
    <w:unhideWhenUsed/>
    <w:qFormat/>
    <w:uiPriority w:val="99"/>
    <w:pPr>
      <w:tabs>
        <w:tab w:val="center" w:pos="4153"/>
        <w:tab w:val="right" w:pos="8306"/>
      </w:tabs>
      <w:snapToGrid w:val="0"/>
      <w:jc w:val="left"/>
    </w:pPr>
    <w:rPr>
      <w:sz w:val="18"/>
      <w:szCs w:val="18"/>
    </w:rPr>
  </w:style>
  <w:style w:type="paragraph" w:styleId="8">
    <w:name w:val="header"/>
    <w:basedOn w:val="1"/>
    <w:autoRedefine/>
    <w:unhideWhenUsed/>
    <w:qFormat/>
    <w:uiPriority w:val="99"/>
    <w:pPr>
      <w:pBdr>
        <w:bottom w:val="single" w:color="auto" w:sz="6" w:space="1"/>
      </w:pBdr>
      <w:tabs>
        <w:tab w:val="center" w:pos="4153"/>
        <w:tab w:val="right" w:pos="8306"/>
      </w:tabs>
      <w:snapToGrid w:val="0"/>
      <w:jc w:val="center"/>
    </w:pPr>
    <w:rPr>
      <w:sz w:val="18"/>
      <w:szCs w:val="18"/>
    </w:rPr>
  </w:style>
  <w:style w:type="paragraph" w:styleId="9">
    <w:name w:val="Normal (Web)"/>
    <w:basedOn w:val="1"/>
    <w:autoRedefine/>
    <w:unhideWhenUsed/>
    <w:qFormat/>
    <w:uiPriority w:val="99"/>
    <w:pPr>
      <w:widowControl/>
      <w:spacing w:before="100" w:beforeAutospacing="1" w:after="100" w:afterAutospacing="1"/>
      <w:jc w:val="left"/>
    </w:pPr>
    <w:rPr>
      <w:rFonts w:ascii="宋体" w:hAnsi="宋体" w:eastAsia="宋体" w:cs="宋体"/>
      <w:kern w:val="0"/>
      <w:sz w:val="24"/>
      <w:szCs w:val="24"/>
    </w:rPr>
  </w:style>
  <w:style w:type="table" w:styleId="11">
    <w:name w:val="Table Grid"/>
    <w:basedOn w:val="10"/>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3">
    <w:name w:val="Strong"/>
    <w:basedOn w:val="12"/>
    <w:autoRedefine/>
    <w:qFormat/>
    <w:uiPriority w:val="0"/>
    <w:rPr>
      <w:b/>
    </w:rPr>
  </w:style>
  <w:style w:type="character" w:styleId="14">
    <w:name w:val="Hyperlink"/>
    <w:basedOn w:val="12"/>
    <w:autoRedefine/>
    <w:qFormat/>
    <w:uiPriority w:val="0"/>
    <w:rPr>
      <w:color w:val="0000FF"/>
      <w:u w:val="single"/>
    </w:rPr>
  </w:style>
  <w:style w:type="paragraph" w:styleId="15">
    <w:name w:val="List Paragraph"/>
    <w:basedOn w:val="1"/>
    <w:autoRedefine/>
    <w:unhideWhenUsed/>
    <w:qFormat/>
    <w:uiPriority w:val="0"/>
    <w:pPr>
      <w:ind w:firstLine="420" w:firstLineChars="200"/>
    </w:pPr>
    <w:rPr>
      <w:sz w:val="24"/>
      <w:szCs w:val="24"/>
    </w:rPr>
  </w:style>
  <w:style w:type="character" w:customStyle="1" w:styleId="16">
    <w:name w:val="批注框文本 字符"/>
    <w:basedOn w:val="12"/>
    <w:link w:val="6"/>
    <w:uiPriority w:val="0"/>
    <w:rPr>
      <w:rFonts w:ascii="微软雅黑" w:hAnsi="微软雅黑" w:eastAsia="微软雅黑"/>
      <w:kern w:val="2"/>
      <w:sz w:val="18"/>
      <w:szCs w:val="18"/>
    </w:rPr>
  </w:style>
  <w:style w:type="paragraph" w:customStyle="1" w:styleId="17">
    <w:name w:val="Revision"/>
    <w:autoRedefine/>
    <w:hidden/>
    <w:semiHidden/>
    <w:qFormat/>
    <w:uiPriority w:val="99"/>
    <w:rPr>
      <w:rFonts w:hint="eastAsia" w:ascii="微软雅黑" w:hAnsi="微软雅黑" w:eastAsia="微软雅黑" w:cs="Times New Roman"/>
      <w:kern w:val="2"/>
      <w:sz w:val="21"/>
      <w:szCs w:val="22"/>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8</Pages>
  <Words>4241</Words>
  <Characters>4285</Characters>
  <Lines>204</Lines>
  <Paragraphs>100</Paragraphs>
  <TotalTime>10</TotalTime>
  <ScaleCrop>false</ScaleCrop>
  <LinksUpToDate>false</LinksUpToDate>
  <CharactersWithSpaces>8426</CharactersWithSpaces>
  <Application>WPS Office_12.1.0.16417_F1E327BC-269C-435d-A152-05C5408002CA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2024-04-03T09:16:00Z</dcterms:created>
  <dc:creator>binge</dc:creator>
  <cp:lastModifiedBy>慕青衿</cp:lastModifiedBy>
  <cp:lastPrinted>2024-04-03T09:39:00Z</cp:lastPrinted>
  <dcterms:modified xsi:type="dcterms:W3CDTF">2024-04-03T13:23:47Z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2052-12.1.0.16417</vt:lpwstr>
  </property>
  <property fmtid="{D5CDD505-2E9C-101B-9397-08002B2CF9AE}" pid="3" name="ICV">
    <vt:lpwstr>A0351463B5E547EF8AE910BB495352E4_13</vt:lpwstr>
  </property>
</Properties>
</file>