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AC92" w14:textId="77777777" w:rsidR="004A57C7" w:rsidRDefault="00000000">
      <w:pPr>
        <w:jc w:val="center"/>
        <w:rPr>
          <w:rFonts w:ascii="宋体" w:eastAsia="宋体" w:hAnsi="宋体" w:cs="宋体" w:hint="eastAsia"/>
          <w:b/>
          <w:bCs/>
          <w:szCs w:val="32"/>
        </w:rPr>
      </w:pPr>
      <w:r>
        <w:rPr>
          <w:rFonts w:ascii="宋体" w:eastAsia="宋体" w:hAnsi="宋体" w:cs="宋体" w:hint="eastAsia"/>
          <w:b/>
          <w:bCs/>
          <w:szCs w:val="32"/>
        </w:rPr>
        <w:t>国家“十四五”重点研发计划任务中期执行情况报告</w:t>
      </w:r>
    </w:p>
    <w:p w14:paraId="17C56303" w14:textId="77777777" w:rsidR="004A57C7" w:rsidRDefault="004A57C7">
      <w:pPr>
        <w:jc w:val="center"/>
        <w:rPr>
          <w:rFonts w:ascii="长城小标宋体" w:eastAsia="长城小标宋体" w:hAnsi="长城小标宋体" w:hint="eastAsia"/>
          <w:b/>
          <w:bCs/>
          <w:sz w:val="36"/>
        </w:rPr>
      </w:pPr>
    </w:p>
    <w:p w14:paraId="4EB08A55" w14:textId="77777777" w:rsidR="004A57C7" w:rsidRDefault="004A57C7">
      <w:pPr>
        <w:jc w:val="center"/>
        <w:rPr>
          <w:rFonts w:ascii="长城小标宋体" w:eastAsia="长城小标宋体" w:hAnsi="长城小标宋体" w:hint="eastAsia"/>
          <w:b/>
          <w:bCs/>
          <w:sz w:val="36"/>
        </w:rPr>
      </w:pPr>
    </w:p>
    <w:p w14:paraId="79B16132" w14:textId="77777777" w:rsidR="004A57C7" w:rsidRDefault="004A57C7">
      <w:pPr>
        <w:jc w:val="center"/>
        <w:rPr>
          <w:rFonts w:ascii="长城小标宋体" w:eastAsia="长城小标宋体" w:hAnsi="长城小标宋体" w:hint="eastAsia"/>
          <w:b/>
          <w:bCs/>
          <w:sz w:val="36"/>
        </w:rPr>
      </w:pPr>
    </w:p>
    <w:p w14:paraId="073D3A1C" w14:textId="77777777" w:rsidR="004A57C7" w:rsidRDefault="004A57C7">
      <w:pPr>
        <w:jc w:val="center"/>
        <w:rPr>
          <w:rFonts w:ascii="长城小标宋体" w:eastAsia="长城小标宋体" w:hAnsi="长城小标宋体" w:hint="eastAsia"/>
          <w:b/>
          <w:bCs/>
          <w:sz w:val="36"/>
        </w:rPr>
      </w:pPr>
    </w:p>
    <w:p w14:paraId="58226655" w14:textId="77777777" w:rsidR="004A57C7" w:rsidRDefault="004A57C7">
      <w:pPr>
        <w:jc w:val="center"/>
        <w:rPr>
          <w:rFonts w:ascii="长城小标宋体" w:eastAsia="长城小标宋体" w:hAnsi="长城小标宋体" w:hint="eastAsia"/>
          <w:b/>
          <w:bCs/>
          <w:sz w:val="36"/>
        </w:rPr>
      </w:pPr>
    </w:p>
    <w:p w14:paraId="6A3C9758" w14:textId="77777777" w:rsidR="004A57C7" w:rsidRDefault="004A57C7">
      <w:pPr>
        <w:jc w:val="center"/>
        <w:rPr>
          <w:rFonts w:ascii="长城小标宋体" w:eastAsia="长城小标宋体" w:hAnsi="长城小标宋体" w:hint="eastAsia"/>
          <w:b/>
          <w:bCs/>
          <w:sz w:val="36"/>
        </w:rPr>
      </w:pPr>
    </w:p>
    <w:p w14:paraId="02B01A36" w14:textId="77777777" w:rsidR="004A57C7" w:rsidRDefault="004A57C7">
      <w:pPr>
        <w:jc w:val="center"/>
        <w:rPr>
          <w:rFonts w:ascii="长城小标宋体" w:eastAsia="长城小标宋体" w:hAnsi="长城小标宋体" w:hint="eastAsia"/>
          <w:b/>
          <w:bCs/>
          <w:sz w:val="44"/>
          <w:szCs w:val="44"/>
        </w:rPr>
      </w:pPr>
    </w:p>
    <w:p w14:paraId="71BBB75E" w14:textId="77777777" w:rsidR="004A57C7" w:rsidRDefault="00000000">
      <w:pPr>
        <w:jc w:val="center"/>
        <w:rPr>
          <w:rFonts w:ascii="黑体" w:eastAsia="黑体" w:hAnsi="黑体" w:cs="黑体" w:hint="eastAsia"/>
          <w:b/>
          <w:bCs/>
          <w:spacing w:val="0"/>
          <w:sz w:val="44"/>
          <w:szCs w:val="44"/>
        </w:rPr>
      </w:pPr>
      <w:r>
        <w:rPr>
          <w:rFonts w:ascii="黑体" w:eastAsia="黑体" w:hAnsi="黑体" w:cs="黑体" w:hint="eastAsia"/>
          <w:b/>
          <w:bCs/>
          <w:spacing w:val="0"/>
          <w:sz w:val="44"/>
          <w:szCs w:val="44"/>
        </w:rPr>
        <w:t>大数据驱动的耕地质量演变预测模型和产量估测模型建立</w:t>
      </w:r>
    </w:p>
    <w:p w14:paraId="3348F9A3" w14:textId="77777777" w:rsidR="004A57C7" w:rsidRDefault="004A57C7">
      <w:pPr>
        <w:jc w:val="center"/>
        <w:rPr>
          <w:rFonts w:ascii="黑体" w:eastAsia="黑体" w:hAnsi="黑体" w:cs="黑体" w:hint="eastAsia"/>
          <w:b/>
          <w:bCs/>
          <w:sz w:val="36"/>
        </w:rPr>
      </w:pPr>
    </w:p>
    <w:p w14:paraId="2E912448" w14:textId="77777777" w:rsidR="004A57C7" w:rsidRDefault="004A57C7">
      <w:pPr>
        <w:jc w:val="center"/>
        <w:rPr>
          <w:rFonts w:ascii="黑体" w:eastAsia="黑体" w:hAnsi="黑体" w:cs="黑体" w:hint="eastAsia"/>
          <w:b/>
          <w:bCs/>
          <w:sz w:val="36"/>
        </w:rPr>
      </w:pPr>
    </w:p>
    <w:p w14:paraId="151D72F4" w14:textId="77777777" w:rsidR="004A57C7" w:rsidRDefault="004A57C7">
      <w:pPr>
        <w:jc w:val="center"/>
        <w:rPr>
          <w:rFonts w:ascii="黑体" w:eastAsia="黑体" w:hAnsi="黑体" w:cs="黑体" w:hint="eastAsia"/>
          <w:b/>
          <w:bCs/>
          <w:sz w:val="36"/>
        </w:rPr>
      </w:pPr>
    </w:p>
    <w:p w14:paraId="22FF8F6B" w14:textId="77777777" w:rsidR="004A57C7" w:rsidRDefault="004A57C7">
      <w:pPr>
        <w:jc w:val="center"/>
        <w:rPr>
          <w:rFonts w:ascii="黑体" w:eastAsia="黑体" w:hAnsi="黑体" w:cs="黑体" w:hint="eastAsia"/>
          <w:b/>
          <w:bCs/>
          <w:sz w:val="36"/>
        </w:rPr>
      </w:pPr>
    </w:p>
    <w:p w14:paraId="0CC9D3EC" w14:textId="77777777" w:rsidR="004A57C7" w:rsidRDefault="004A57C7">
      <w:pPr>
        <w:jc w:val="center"/>
        <w:rPr>
          <w:rFonts w:ascii="黑体" w:eastAsia="黑体" w:hAnsi="黑体" w:cs="黑体" w:hint="eastAsia"/>
          <w:b/>
          <w:bCs/>
          <w:sz w:val="36"/>
        </w:rPr>
      </w:pPr>
    </w:p>
    <w:p w14:paraId="55E413D3" w14:textId="77777777" w:rsidR="004A57C7" w:rsidRDefault="004A57C7">
      <w:pPr>
        <w:jc w:val="center"/>
        <w:rPr>
          <w:rFonts w:ascii="黑体" w:eastAsia="黑体" w:hAnsi="黑体" w:cs="黑体" w:hint="eastAsia"/>
          <w:b/>
          <w:bCs/>
          <w:sz w:val="36"/>
        </w:rPr>
      </w:pPr>
    </w:p>
    <w:p w14:paraId="5638BC8E" w14:textId="77777777" w:rsidR="004A57C7" w:rsidRDefault="004A57C7">
      <w:pPr>
        <w:jc w:val="center"/>
        <w:rPr>
          <w:rFonts w:ascii="黑体" w:eastAsia="黑体" w:hAnsi="黑体" w:cs="黑体" w:hint="eastAsia"/>
          <w:b/>
          <w:bCs/>
          <w:sz w:val="36"/>
        </w:rPr>
      </w:pPr>
    </w:p>
    <w:p w14:paraId="3CCCD21C" w14:textId="77777777" w:rsidR="004A57C7" w:rsidRDefault="004A57C7">
      <w:pPr>
        <w:jc w:val="center"/>
        <w:rPr>
          <w:rFonts w:ascii="黑体" w:eastAsia="黑体" w:hAnsi="黑体" w:cs="黑体" w:hint="eastAsia"/>
          <w:b/>
          <w:bCs/>
          <w:sz w:val="36"/>
        </w:rPr>
      </w:pPr>
    </w:p>
    <w:p w14:paraId="54739A2E" w14:textId="77777777" w:rsidR="004A57C7" w:rsidRDefault="004A57C7">
      <w:pPr>
        <w:jc w:val="center"/>
        <w:rPr>
          <w:rFonts w:ascii="黑体" w:eastAsia="黑体" w:hAnsi="黑体" w:cs="黑体" w:hint="eastAsia"/>
          <w:b/>
          <w:bCs/>
          <w:sz w:val="36"/>
        </w:rPr>
      </w:pPr>
    </w:p>
    <w:p w14:paraId="6355B124" w14:textId="212EE4C8" w:rsidR="004A57C7" w:rsidRDefault="00000000">
      <w:pPr>
        <w:jc w:val="center"/>
        <w:rPr>
          <w:rFonts w:ascii="黑体" w:eastAsia="黑体" w:hAnsi="黑体" w:cs="黑体" w:hint="eastAsia"/>
          <w:b/>
          <w:bCs/>
          <w:sz w:val="36"/>
        </w:rPr>
        <w:sectPr w:rsidR="004A57C7">
          <w:pgSz w:w="11906" w:h="16838"/>
          <w:pgMar w:top="1440" w:right="1800" w:bottom="1440" w:left="1800" w:header="851" w:footer="992" w:gutter="0"/>
          <w:cols w:space="425"/>
          <w:docGrid w:type="lines" w:linePitch="312"/>
        </w:sectPr>
      </w:pPr>
      <w:r>
        <w:rPr>
          <w:rFonts w:ascii="黑体" w:eastAsia="黑体" w:hAnsi="黑体" w:cs="黑体" w:hint="eastAsia"/>
          <w:b/>
          <w:bCs/>
          <w:sz w:val="36"/>
        </w:rPr>
        <w:t>2026年3月1</w:t>
      </w:r>
      <w:r w:rsidR="007119C0">
        <w:rPr>
          <w:rFonts w:ascii="黑体" w:eastAsia="黑体" w:hAnsi="黑体" w:cs="黑体" w:hint="eastAsia"/>
          <w:b/>
          <w:bCs/>
          <w:sz w:val="36"/>
        </w:rPr>
        <w:t>2</w:t>
      </w:r>
      <w:r>
        <w:rPr>
          <w:rFonts w:ascii="黑体" w:eastAsia="黑体" w:hAnsi="黑体" w:cs="黑体" w:hint="eastAsia"/>
          <w:b/>
          <w:bCs/>
          <w:sz w:val="36"/>
        </w:rPr>
        <w:t>日</w:t>
      </w:r>
    </w:p>
    <w:p w14:paraId="35B162FD" w14:textId="77777777" w:rsidR="004A57C7" w:rsidRDefault="00000000">
      <w:pPr>
        <w:pStyle w:val="1"/>
        <w:spacing w:before="0" w:after="0" w:line="360" w:lineRule="auto"/>
        <w:rPr>
          <w:rFonts w:ascii="黑体" w:eastAsia="黑体" w:hAnsi="黑体" w:hint="eastAsia"/>
          <w:sz w:val="32"/>
          <w:szCs w:val="32"/>
        </w:rPr>
      </w:pPr>
      <w:r>
        <w:rPr>
          <w:rFonts w:ascii="黑体" w:eastAsia="黑体" w:hAnsi="黑体" w:hint="eastAsia"/>
          <w:sz w:val="32"/>
          <w:szCs w:val="32"/>
        </w:rPr>
        <w:lastRenderedPageBreak/>
        <w:t>一、总体进展情况</w:t>
      </w:r>
    </w:p>
    <w:p w14:paraId="72F4AEC3" w14:textId="77777777" w:rsidR="004A57C7" w:rsidRDefault="00000000">
      <w:pPr>
        <w:pStyle w:val="2"/>
        <w:spacing w:before="0" w:after="0" w:line="360" w:lineRule="auto"/>
        <w:rPr>
          <w:rFonts w:ascii="仿宋_GB2312" w:eastAsia="仿宋_GB2312"/>
        </w:rPr>
      </w:pPr>
      <w:r>
        <w:rPr>
          <w:rFonts w:ascii="仿宋_GB2312" w:eastAsia="仿宋_GB2312" w:hint="eastAsia"/>
        </w:rPr>
        <w:t>1、任务中期总体进展情况</w:t>
      </w:r>
    </w:p>
    <w:p w14:paraId="0CB9A5C2" w14:textId="77777777" w:rsidR="004A57C7" w:rsidRDefault="00000000">
      <w:pPr>
        <w:snapToGrid w:val="0"/>
        <w:spacing w:line="360" w:lineRule="auto"/>
        <w:ind w:firstLineChars="200" w:firstLine="624"/>
        <w:rPr>
          <w:rFonts w:ascii="Times New Roman"/>
          <w:szCs w:val="28"/>
        </w:rPr>
      </w:pPr>
      <w:bookmarkStart w:id="0" w:name="_Hlk224047836"/>
      <w:r>
        <w:rPr>
          <w:rFonts w:ascii="Times New Roman" w:hint="eastAsia"/>
          <w:szCs w:val="28"/>
        </w:rPr>
        <w:t>自项目启动以来，本课题组严格对照子课题任务书所制定的计划目标与各项主要技术指标，科学谋划、精心组织、协同攻关，总体进展顺利。依据子课题任务书的计划目标和各项主要指标要求，中期任务与指标要求包括初步建立松嫩平原黑土区耕地质量预测模型、粮食产量估测模型各</w:t>
      </w:r>
      <w:r>
        <w:rPr>
          <w:rFonts w:ascii="Times New Roman" w:hint="eastAsia"/>
          <w:szCs w:val="28"/>
        </w:rPr>
        <w:t>1</w:t>
      </w:r>
      <w:r>
        <w:rPr>
          <w:rFonts w:ascii="Times New Roman" w:hint="eastAsia"/>
          <w:szCs w:val="28"/>
        </w:rPr>
        <w:t>套，发表高水平论文</w:t>
      </w:r>
      <w:r>
        <w:rPr>
          <w:rFonts w:ascii="Times New Roman" w:hint="eastAsia"/>
          <w:szCs w:val="28"/>
        </w:rPr>
        <w:t>1</w:t>
      </w:r>
      <w:r>
        <w:rPr>
          <w:rFonts w:ascii="Times New Roman" w:hint="eastAsia"/>
          <w:szCs w:val="28"/>
        </w:rPr>
        <w:t>篇，申请专利</w:t>
      </w:r>
      <w:r>
        <w:rPr>
          <w:rFonts w:ascii="Times New Roman" w:hint="eastAsia"/>
          <w:szCs w:val="28"/>
        </w:rPr>
        <w:t>1</w:t>
      </w:r>
      <w:r>
        <w:rPr>
          <w:rFonts w:ascii="Times New Roman" w:hint="eastAsia"/>
          <w:szCs w:val="28"/>
        </w:rPr>
        <w:t>项，培养研究生</w:t>
      </w:r>
      <w:r>
        <w:rPr>
          <w:rFonts w:ascii="Times New Roman" w:hint="eastAsia"/>
          <w:szCs w:val="28"/>
        </w:rPr>
        <w:t>1-2</w:t>
      </w:r>
      <w:r>
        <w:rPr>
          <w:rFonts w:ascii="Times New Roman" w:hint="eastAsia"/>
          <w:szCs w:val="28"/>
        </w:rPr>
        <w:t>名，均已顺利完成，达到了中期预期的研究目标和要求。</w:t>
      </w:r>
    </w:p>
    <w:p w14:paraId="3C2C3A02" w14:textId="77777777" w:rsidR="004A57C7" w:rsidRDefault="00000000">
      <w:pPr>
        <w:snapToGrid w:val="0"/>
        <w:spacing w:line="360" w:lineRule="auto"/>
        <w:ind w:firstLineChars="200" w:firstLine="624"/>
        <w:rPr>
          <w:rFonts w:ascii="Times New Roman"/>
          <w:szCs w:val="28"/>
        </w:rPr>
      </w:pPr>
      <w:r>
        <w:rPr>
          <w:rFonts w:ascii="Times New Roman" w:hint="eastAsia"/>
          <w:szCs w:val="28"/>
        </w:rPr>
        <w:t>针对具体研究进展，本子课题针对当前在松嫩平原典型黑土区的较多耕地质量问题（如中部旱田水蚀严重、南部土壤有机质低），初步构建的松嫩平原黑土区耕地质量预测和粮食产量估测模型，依托多要素联网观测获取的大数据，结合深度学习（</w:t>
      </w:r>
      <w:r>
        <w:rPr>
          <w:rFonts w:ascii="Times New Roman" w:hint="eastAsia"/>
          <w:szCs w:val="28"/>
        </w:rPr>
        <w:t>DeepLearning</w:t>
      </w:r>
      <w:r>
        <w:rPr>
          <w:rFonts w:ascii="Times New Roman" w:hint="eastAsia"/>
          <w:szCs w:val="28"/>
        </w:rPr>
        <w:t>）与地理加权回归（</w:t>
      </w:r>
      <w:r>
        <w:rPr>
          <w:rFonts w:ascii="Times New Roman" w:hint="eastAsia"/>
          <w:szCs w:val="28"/>
        </w:rPr>
        <w:t>GWR</w:t>
      </w:r>
      <w:r>
        <w:rPr>
          <w:rFonts w:ascii="Times New Roman" w:hint="eastAsia"/>
          <w:szCs w:val="28"/>
        </w:rPr>
        <w:t>），对耕地质量与粮食产量进行预测，且能够明确耕地质量与粮食产量的耦合关系，对耕地质量与粮食产量的监测有重要意义。针对该套技术方法，申请专利</w:t>
      </w:r>
      <w:r>
        <w:rPr>
          <w:rFonts w:ascii="Times New Roman" w:hint="eastAsia"/>
          <w:szCs w:val="28"/>
        </w:rPr>
        <w:t>1</w:t>
      </w:r>
      <w:r>
        <w:rPr>
          <w:rFonts w:ascii="Times New Roman" w:hint="eastAsia"/>
          <w:szCs w:val="28"/>
        </w:rPr>
        <w:t>项，目前专利已进入实质审查阶段。依托项目，本子课题发表论文</w:t>
      </w:r>
      <w:r>
        <w:rPr>
          <w:rFonts w:ascii="Times New Roman" w:hint="eastAsia"/>
          <w:szCs w:val="28"/>
        </w:rPr>
        <w:t>1</w:t>
      </w:r>
      <w:r>
        <w:rPr>
          <w:rFonts w:ascii="Times New Roman" w:hint="eastAsia"/>
          <w:szCs w:val="28"/>
        </w:rPr>
        <w:t>篇，此外</w:t>
      </w:r>
      <w:r>
        <w:rPr>
          <w:rFonts w:ascii="Times New Roman" w:hint="eastAsia"/>
          <w:szCs w:val="28"/>
        </w:rPr>
        <w:t>2026</w:t>
      </w:r>
      <w:r>
        <w:rPr>
          <w:rFonts w:ascii="Times New Roman" w:hint="eastAsia"/>
          <w:szCs w:val="28"/>
        </w:rPr>
        <w:t>年初积极开展下一个阶段的任务，目前完成第二篇论文撰写，并已送审。最后，本子课题培养研究生</w:t>
      </w:r>
      <w:r>
        <w:rPr>
          <w:rFonts w:ascii="Times New Roman" w:hint="eastAsia"/>
          <w:szCs w:val="28"/>
        </w:rPr>
        <w:t>3</w:t>
      </w:r>
      <w:r>
        <w:rPr>
          <w:rFonts w:ascii="Times New Roman" w:hint="eastAsia"/>
          <w:szCs w:val="28"/>
        </w:rPr>
        <w:t>人，其中博士</w:t>
      </w:r>
      <w:r>
        <w:rPr>
          <w:rFonts w:ascii="Times New Roman" w:hint="eastAsia"/>
          <w:szCs w:val="28"/>
        </w:rPr>
        <w:t>1</w:t>
      </w:r>
      <w:r>
        <w:rPr>
          <w:rFonts w:ascii="Times New Roman" w:hint="eastAsia"/>
          <w:szCs w:val="28"/>
        </w:rPr>
        <w:t>人。目前，项目正处于改进优化松嫩平原黑土区耕地质量预测和粮食产量估测模型的关键时期。</w:t>
      </w:r>
    </w:p>
    <w:p w14:paraId="65889B08" w14:textId="77777777" w:rsidR="004A57C7" w:rsidRDefault="00000000">
      <w:pPr>
        <w:snapToGrid w:val="0"/>
        <w:spacing w:line="360" w:lineRule="auto"/>
        <w:ind w:firstLineChars="200" w:firstLine="624"/>
        <w:rPr>
          <w:rFonts w:ascii="Times New Roman"/>
          <w:szCs w:val="28"/>
        </w:rPr>
      </w:pPr>
      <w:r>
        <w:rPr>
          <w:rFonts w:ascii="Times New Roman" w:hint="eastAsia"/>
          <w:szCs w:val="28"/>
        </w:rPr>
        <w:t>总体来说，本子课题严格遵循组织管理办法，定期讨论总结，当前实施进展状态良好，按时完成了预定的研究内容，为项目后续的模型完善和最终结题验收奠定了坚实的基础。</w:t>
      </w:r>
    </w:p>
    <w:bookmarkEnd w:id="0"/>
    <w:p w14:paraId="3FE3AA15" w14:textId="77777777" w:rsidR="004A57C7" w:rsidRDefault="00000000">
      <w:pPr>
        <w:pStyle w:val="1"/>
        <w:spacing w:before="0" w:after="0" w:line="360" w:lineRule="auto"/>
        <w:rPr>
          <w:rFonts w:ascii="黑体" w:eastAsia="黑体" w:hAnsi="黑体" w:hint="eastAsia"/>
          <w:sz w:val="32"/>
          <w:szCs w:val="32"/>
        </w:rPr>
      </w:pPr>
      <w:r>
        <w:rPr>
          <w:rFonts w:ascii="黑体" w:eastAsia="黑体" w:hAnsi="黑体" w:hint="eastAsia"/>
          <w:sz w:val="32"/>
          <w:szCs w:val="32"/>
        </w:rPr>
        <w:t>二、取得的重要进展及成果</w:t>
      </w:r>
    </w:p>
    <w:p w14:paraId="2FD20BD3" w14:textId="77777777" w:rsidR="004A57C7" w:rsidRDefault="00000000">
      <w:pPr>
        <w:pStyle w:val="2"/>
        <w:spacing w:before="0" w:after="0" w:line="360" w:lineRule="auto"/>
        <w:rPr>
          <w:rFonts w:ascii="仿宋_GB2312" w:eastAsia="仿宋_GB2312"/>
        </w:rPr>
      </w:pPr>
      <w:r>
        <w:rPr>
          <w:rFonts w:ascii="仿宋_GB2312" w:eastAsia="仿宋_GB2312"/>
        </w:rPr>
        <w:t>1</w:t>
      </w:r>
      <w:r>
        <w:rPr>
          <w:rFonts w:ascii="仿宋_GB2312" w:eastAsia="仿宋_GB2312" w:hint="eastAsia"/>
        </w:rPr>
        <w:t>、任务</w:t>
      </w:r>
      <w:r>
        <w:rPr>
          <w:rFonts w:ascii="仿宋_GB2312" w:eastAsia="仿宋_GB2312"/>
        </w:rPr>
        <w:t>中期重要进展及成果</w:t>
      </w:r>
    </w:p>
    <w:p w14:paraId="5202566A" w14:textId="77777777" w:rsidR="004A57C7" w:rsidRDefault="00000000">
      <w:pPr>
        <w:snapToGrid w:val="0"/>
        <w:spacing w:line="360" w:lineRule="auto"/>
        <w:ind w:firstLineChars="200" w:firstLine="624"/>
        <w:rPr>
          <w:rFonts w:ascii="Times New Roman"/>
          <w:szCs w:val="28"/>
        </w:rPr>
      </w:pPr>
      <w:r>
        <w:rPr>
          <w:rFonts w:ascii="Times New Roman" w:hint="eastAsia"/>
          <w:szCs w:val="28"/>
        </w:rPr>
        <w:t>耕地质量</w:t>
      </w:r>
      <w:r>
        <w:rPr>
          <w:rFonts w:ascii="Times New Roman" w:hint="eastAsia"/>
          <w:szCs w:val="28"/>
        </w:rPr>
        <w:t>/</w:t>
      </w:r>
      <w:r>
        <w:rPr>
          <w:rFonts w:ascii="Times New Roman" w:hint="eastAsia"/>
          <w:szCs w:val="28"/>
        </w:rPr>
        <w:t>粮食产能双提升与国家粮食安全息息相关，而耕地质量</w:t>
      </w:r>
      <w:r>
        <w:rPr>
          <w:rFonts w:ascii="Times New Roman" w:hint="eastAsia"/>
          <w:szCs w:val="28"/>
        </w:rPr>
        <w:t>/</w:t>
      </w:r>
      <w:r>
        <w:rPr>
          <w:rFonts w:ascii="Times New Roman" w:hint="eastAsia"/>
          <w:szCs w:val="28"/>
        </w:rPr>
        <w:t>粮食产能受到土壤肥力、水土保持性状、农田作物类型及利用方式、气象条件等多种影响要素的影响，因此急需结合多影响因子的耕地质量</w:t>
      </w:r>
      <w:r>
        <w:rPr>
          <w:rFonts w:ascii="Times New Roman" w:hint="eastAsia"/>
          <w:szCs w:val="28"/>
        </w:rPr>
        <w:t>/</w:t>
      </w:r>
      <w:r>
        <w:rPr>
          <w:rFonts w:ascii="Times New Roman" w:hint="eastAsia"/>
          <w:szCs w:val="28"/>
        </w:rPr>
        <w:t>粮食产量评估预测方法。本子课题利用多要素联网观测大数据，结合作物生长条件和环境的空间异质性，构建耕地质量演变预测和粮食产量估测模型，以量化环境特征，明确耕地质量与粮食产量的内在联系，为农田粮食产能的精准评估提供支持。本子课题已初步建立松嫩平原黑土区耕地质量预测模型、粮食产量估测模型各</w:t>
      </w:r>
      <w:r>
        <w:rPr>
          <w:rFonts w:ascii="Times New Roman" w:hint="eastAsia"/>
          <w:szCs w:val="28"/>
        </w:rPr>
        <w:t>1</w:t>
      </w:r>
      <w:r>
        <w:rPr>
          <w:rFonts w:ascii="Times New Roman" w:hint="eastAsia"/>
          <w:szCs w:val="28"/>
        </w:rPr>
        <w:t>套，并基于上述模型申请专利</w:t>
      </w:r>
      <w:r>
        <w:rPr>
          <w:rFonts w:ascii="Times New Roman" w:hint="eastAsia"/>
          <w:szCs w:val="28"/>
        </w:rPr>
        <w:t>1</w:t>
      </w:r>
      <w:r>
        <w:rPr>
          <w:rFonts w:ascii="Times New Roman" w:hint="eastAsia"/>
          <w:szCs w:val="28"/>
        </w:rPr>
        <w:t>项，发表论文</w:t>
      </w:r>
      <w:r>
        <w:rPr>
          <w:rFonts w:ascii="Times New Roman" w:hint="eastAsia"/>
          <w:szCs w:val="28"/>
        </w:rPr>
        <w:t>1</w:t>
      </w:r>
      <w:r>
        <w:rPr>
          <w:rFonts w:ascii="Times New Roman" w:hint="eastAsia"/>
          <w:szCs w:val="28"/>
        </w:rPr>
        <w:t>篇，正在送审阶段论文</w:t>
      </w:r>
      <w:r>
        <w:rPr>
          <w:rFonts w:ascii="Times New Roman" w:hint="eastAsia"/>
          <w:szCs w:val="28"/>
        </w:rPr>
        <w:t>1</w:t>
      </w:r>
      <w:r>
        <w:rPr>
          <w:rFonts w:ascii="Times New Roman" w:hint="eastAsia"/>
          <w:szCs w:val="28"/>
        </w:rPr>
        <w:t>篇，具体如下：</w:t>
      </w:r>
    </w:p>
    <w:p w14:paraId="618648C8" w14:textId="77777777" w:rsidR="004A57C7" w:rsidRDefault="00000000">
      <w:pPr>
        <w:snapToGrid w:val="0"/>
        <w:spacing w:line="360" w:lineRule="auto"/>
        <w:ind w:firstLineChars="200" w:firstLine="624"/>
        <w:rPr>
          <w:rFonts w:ascii="Times New Roman"/>
          <w:szCs w:val="28"/>
        </w:rPr>
      </w:pPr>
      <w:r>
        <w:rPr>
          <w:rFonts w:ascii="Times New Roman" w:hint="eastAsia"/>
          <w:szCs w:val="28"/>
        </w:rPr>
        <w:t>（</w:t>
      </w:r>
      <w:r>
        <w:rPr>
          <w:rFonts w:ascii="Times New Roman" w:hint="eastAsia"/>
          <w:szCs w:val="28"/>
        </w:rPr>
        <w:t>1</w:t>
      </w:r>
      <w:r>
        <w:rPr>
          <w:rFonts w:ascii="Times New Roman" w:hint="eastAsia"/>
          <w:szCs w:val="28"/>
        </w:rPr>
        <w:t>）新方法：大数据驱动的耕地质量演变预测模型和产量估测模型，该方法明确耕地质量与粮食产量的耦合关系，助力于黑土地保护与农业数字化；</w:t>
      </w:r>
    </w:p>
    <w:p w14:paraId="0A481D1F" w14:textId="77777777" w:rsidR="004A57C7" w:rsidRDefault="00000000">
      <w:pPr>
        <w:snapToGrid w:val="0"/>
        <w:spacing w:line="360" w:lineRule="auto"/>
        <w:ind w:firstLineChars="200" w:firstLine="624"/>
        <w:rPr>
          <w:rFonts w:ascii="Times New Roman"/>
          <w:szCs w:val="28"/>
        </w:rPr>
      </w:pPr>
      <w:r>
        <w:rPr>
          <w:rFonts w:ascii="Times New Roman" w:hint="eastAsia"/>
          <w:szCs w:val="28"/>
        </w:rPr>
        <w:t>（</w:t>
      </w:r>
      <w:r>
        <w:rPr>
          <w:rFonts w:ascii="Times New Roman" w:hint="eastAsia"/>
          <w:szCs w:val="28"/>
        </w:rPr>
        <w:t>2</w:t>
      </w:r>
      <w:r>
        <w:rPr>
          <w:rFonts w:ascii="Times New Roman" w:hint="eastAsia"/>
          <w:szCs w:val="28"/>
        </w:rPr>
        <w:t>）发明专利：耕地产量预测方法、装置、电子设备及存储介质，已进入实质审查阶段；</w:t>
      </w:r>
    </w:p>
    <w:p w14:paraId="68D21EA8" w14:textId="77777777" w:rsidR="004A57C7" w:rsidRDefault="00000000">
      <w:pPr>
        <w:snapToGrid w:val="0"/>
        <w:spacing w:line="360" w:lineRule="auto"/>
        <w:ind w:firstLineChars="200" w:firstLine="624"/>
        <w:rPr>
          <w:rFonts w:ascii="Times New Roman"/>
          <w:b/>
          <w:bCs/>
          <w:color w:val="000000"/>
          <w:szCs w:val="32"/>
        </w:rPr>
      </w:pPr>
      <w:r>
        <w:rPr>
          <w:rFonts w:ascii="Times New Roman" w:hint="eastAsia"/>
          <w:szCs w:val="28"/>
        </w:rPr>
        <w:t>（</w:t>
      </w:r>
      <w:r>
        <w:rPr>
          <w:rFonts w:ascii="Times New Roman" w:hint="eastAsia"/>
          <w:szCs w:val="28"/>
        </w:rPr>
        <w:t>3</w:t>
      </w:r>
      <w:r>
        <w:rPr>
          <w:rFonts w:ascii="Times New Roman" w:hint="eastAsia"/>
          <w:szCs w:val="28"/>
        </w:rPr>
        <w:t>）高水平论文：发表</w:t>
      </w:r>
      <w:r>
        <w:rPr>
          <w:rFonts w:ascii="Times New Roman" w:hint="eastAsia"/>
          <w:szCs w:val="28"/>
        </w:rPr>
        <w:t>1</w:t>
      </w:r>
      <w:r>
        <w:rPr>
          <w:rFonts w:ascii="Times New Roman" w:hint="eastAsia"/>
          <w:szCs w:val="28"/>
        </w:rPr>
        <w:t>篇（</w:t>
      </w:r>
      <w:r>
        <w:rPr>
          <w:rFonts w:ascii="Times New Roman"/>
          <w:szCs w:val="28"/>
        </w:rPr>
        <w:t>Improving land surface phenology extraction through space-aware neural networks</w:t>
      </w:r>
      <w:r>
        <w:rPr>
          <w:rFonts w:ascii="Times New Roman" w:hint="eastAsia"/>
          <w:szCs w:val="28"/>
        </w:rPr>
        <w:t>），该成果辅助更精确地模拟和预测耕地质量关键指标（如有机质、含水量）的动态演变过程；送审</w:t>
      </w:r>
      <w:r>
        <w:rPr>
          <w:rFonts w:ascii="Times New Roman" w:hint="eastAsia"/>
          <w:szCs w:val="28"/>
        </w:rPr>
        <w:t>1</w:t>
      </w:r>
      <w:r>
        <w:rPr>
          <w:rFonts w:ascii="Times New Roman" w:hint="eastAsia"/>
          <w:szCs w:val="28"/>
        </w:rPr>
        <w:t>篇（</w:t>
      </w:r>
      <w:r>
        <w:rPr>
          <w:rFonts w:ascii="Times New Roman"/>
          <w:color w:val="000000"/>
          <w:szCs w:val="32"/>
        </w:rPr>
        <w:t>Mapping 20-years winter wheat dynamics in global primary planting areas using Gaussian mixture models in a flexible way</w:t>
      </w:r>
      <w:r>
        <w:rPr>
          <w:rFonts w:ascii="Times New Roman" w:hint="eastAsia"/>
          <w:szCs w:val="28"/>
        </w:rPr>
        <w:t>），该成果为本项目分析耕地质量演变及其对粮食产量的影响提供长期、可靠的时空本底数据。</w:t>
      </w:r>
    </w:p>
    <w:p w14:paraId="0C257DB5" w14:textId="77777777" w:rsidR="004A57C7" w:rsidRDefault="00000000">
      <w:pPr>
        <w:snapToGrid w:val="0"/>
        <w:spacing w:line="360" w:lineRule="auto"/>
        <w:ind w:firstLineChars="200" w:firstLine="624"/>
        <w:rPr>
          <w:rFonts w:ascii="Times New Roman"/>
          <w:szCs w:val="28"/>
        </w:rPr>
      </w:pPr>
      <w:r>
        <w:rPr>
          <w:rFonts w:ascii="Times New Roman" w:hint="eastAsia"/>
          <w:szCs w:val="28"/>
        </w:rPr>
        <w:t>随着农业数据化不断推进，基于大数据和机器学习的管理模式愈发普及，结合深度学习与地理加权回归的耕地质量预测和粮食产量估测模型充分利用多源数据，为农业生产提供数据支持与政策指导。该专利能够优化耕地种植机构，提升土壤管理措施，为耕地施肥与灌溉提供辅助建议，从而促进农田长期稳定生产与可持续发展，提高农业现代化水平，服务于国家粮食安全的大战略。</w:t>
      </w:r>
    </w:p>
    <w:p w14:paraId="628725E5" w14:textId="77777777" w:rsidR="004A57C7" w:rsidRDefault="00000000">
      <w:pPr>
        <w:pStyle w:val="2"/>
        <w:spacing w:before="0" w:after="0" w:line="360" w:lineRule="auto"/>
        <w:rPr>
          <w:rFonts w:ascii="仿宋_GB2312" w:eastAsia="仿宋_GB2312"/>
        </w:rPr>
      </w:pPr>
      <w:r>
        <w:rPr>
          <w:rFonts w:ascii="仿宋_GB2312" w:eastAsia="仿宋_GB2312"/>
        </w:rPr>
        <w:t>2</w:t>
      </w:r>
      <w:r>
        <w:rPr>
          <w:rFonts w:ascii="仿宋_GB2312" w:eastAsia="仿宋_GB2312" w:hint="eastAsia"/>
        </w:rPr>
        <w:t>、</w:t>
      </w:r>
      <w:r>
        <w:rPr>
          <w:rFonts w:ascii="仿宋_GB2312" w:eastAsia="仿宋_GB2312"/>
        </w:rPr>
        <w:t>预期经济社会效益</w:t>
      </w:r>
    </w:p>
    <w:p w14:paraId="75DB6103" w14:textId="77777777" w:rsidR="004A57C7" w:rsidRDefault="00000000">
      <w:pPr>
        <w:snapToGrid w:val="0"/>
        <w:spacing w:line="360" w:lineRule="auto"/>
        <w:ind w:firstLineChars="200" w:firstLine="627"/>
        <w:rPr>
          <w:rFonts w:ascii="Times New Roman"/>
          <w:szCs w:val="28"/>
        </w:rPr>
      </w:pPr>
      <w:r>
        <w:rPr>
          <w:rFonts w:ascii="Times New Roman" w:hint="eastAsia"/>
          <w:b/>
          <w:bCs/>
          <w:szCs w:val="28"/>
        </w:rPr>
        <w:t>学科</w:t>
      </w:r>
      <w:r>
        <w:rPr>
          <w:rFonts w:ascii="Times New Roman" w:hint="eastAsia"/>
          <w:b/>
          <w:bCs/>
          <w:szCs w:val="28"/>
        </w:rPr>
        <w:t>/</w:t>
      </w:r>
      <w:r>
        <w:rPr>
          <w:rFonts w:ascii="Times New Roman" w:hint="eastAsia"/>
          <w:b/>
          <w:bCs/>
          <w:szCs w:val="28"/>
        </w:rPr>
        <w:t>行业效益</w:t>
      </w:r>
      <w:r>
        <w:rPr>
          <w:rFonts w:ascii="Times New Roman" w:hint="eastAsia"/>
          <w:szCs w:val="28"/>
        </w:rPr>
        <w:t>：本课题深度融合农业科学、遥感技术与人工智能，构建基于深度学习的耕地质量与作物产量预测模型，将有力推动精准农业与智慧农业的学科交叉发展。一方面，将遥感大数据与深度学习算法结合，可实现耕地质量从“人工抽样调查”向“空天地一体化智能感知”的范式转变；另一方面，作物产量估测模型的应用将推动农业气象、土壤学和作物生理生态模型的数字化升级，为农业遥感领域提供新的理论与方法支撑。此外，该成果可带动农业信息化服务和智能装备制造的发展，助力我国农业现代化水平的整体提升。</w:t>
      </w:r>
    </w:p>
    <w:p w14:paraId="518F79AB" w14:textId="77777777" w:rsidR="004A57C7" w:rsidRDefault="00000000">
      <w:pPr>
        <w:snapToGrid w:val="0"/>
        <w:spacing w:line="360" w:lineRule="auto"/>
        <w:ind w:firstLineChars="200" w:firstLine="627"/>
        <w:rPr>
          <w:rFonts w:ascii="Times New Roman"/>
          <w:szCs w:val="28"/>
        </w:rPr>
      </w:pPr>
      <w:r>
        <w:rPr>
          <w:rFonts w:ascii="Times New Roman" w:hint="eastAsia"/>
          <w:b/>
          <w:bCs/>
          <w:szCs w:val="28"/>
        </w:rPr>
        <w:t>社会效益</w:t>
      </w:r>
      <w:r>
        <w:rPr>
          <w:rFonts w:ascii="Times New Roman" w:hint="eastAsia"/>
          <w:szCs w:val="28"/>
        </w:rPr>
        <w:t>：本子课题申请专利克服了大尺度的耕地质量评价和粮食产能预测主要依赖于气象和遥感数据，在考虑影响因子方面相对单一的缺陷，填补了缺乏多因子多模型的耕地质量和粮食产能耦合评估模型的空白；通过相关技术的推广，能够提升黑土地的监测与保护水平，带动与引领农业遥感相关产业的升级与调整，提高农业现代化水平，服务与国家粮食安全的大战略；通过相关技术的示范应用，指导相关农技精准实施，提高黑土地的利用与保护水平，降低黑土地因侵蚀而造成的环境风险。</w:t>
      </w:r>
    </w:p>
    <w:p w14:paraId="6B424264" w14:textId="77777777" w:rsidR="004A57C7" w:rsidRDefault="00000000">
      <w:pPr>
        <w:snapToGrid w:val="0"/>
        <w:spacing w:line="360" w:lineRule="auto"/>
        <w:ind w:firstLineChars="200" w:firstLine="627"/>
        <w:rPr>
          <w:rFonts w:ascii="Times New Roman"/>
          <w:szCs w:val="28"/>
        </w:rPr>
      </w:pPr>
      <w:r>
        <w:rPr>
          <w:rFonts w:ascii="Times New Roman" w:hint="eastAsia"/>
          <w:b/>
          <w:bCs/>
          <w:szCs w:val="28"/>
        </w:rPr>
        <w:t>经济效益</w:t>
      </w:r>
      <w:r>
        <w:rPr>
          <w:rFonts w:ascii="Times New Roman" w:hint="eastAsia"/>
          <w:szCs w:val="28"/>
        </w:rPr>
        <w:t>：通过耕地质量的动态预测能够更精确地引导肥料与灌溉等的资源投入，减少不必要的资源浪费，优化种植结构与土壤管理措施，延长耕地的使用寿命，保障长期的农业收益和土地资源的可持续利用。通过粮食产量估测模型，政府与农业企业能够根据产量估测结果合理优化种植规划，提升资源配置效率，科学安排生产、储存和流通，降低经济损失。</w:t>
      </w:r>
    </w:p>
    <w:p w14:paraId="6AC51305" w14:textId="4DFFB8C7" w:rsidR="004A57C7" w:rsidRDefault="00000000">
      <w:pPr>
        <w:snapToGrid w:val="0"/>
        <w:spacing w:line="360" w:lineRule="auto"/>
        <w:ind w:firstLineChars="200" w:firstLine="627"/>
        <w:rPr>
          <w:rFonts w:ascii="Times New Roman"/>
          <w:szCs w:val="28"/>
        </w:rPr>
      </w:pPr>
      <w:r>
        <w:rPr>
          <w:rFonts w:ascii="Times New Roman" w:hint="eastAsia"/>
          <w:b/>
          <w:bCs/>
          <w:szCs w:val="28"/>
        </w:rPr>
        <w:t>人才、专利与技术</w:t>
      </w:r>
      <w:r>
        <w:rPr>
          <w:rFonts w:ascii="Times New Roman" w:hint="eastAsia"/>
          <w:szCs w:val="28"/>
        </w:rPr>
        <w:t>：项目期内已培养掌握跨学科知识的复合型人才</w:t>
      </w:r>
      <w:r w:rsidR="00CE2014">
        <w:rPr>
          <w:rFonts w:ascii="Times New Roman" w:hint="eastAsia"/>
          <w:szCs w:val="28"/>
        </w:rPr>
        <w:t>3</w:t>
      </w:r>
      <w:r>
        <w:rPr>
          <w:rFonts w:ascii="Times New Roman" w:hint="eastAsia"/>
          <w:szCs w:val="28"/>
        </w:rPr>
        <w:t>名，其中博士生</w:t>
      </w:r>
      <w:r>
        <w:rPr>
          <w:rFonts w:ascii="Times New Roman" w:hint="eastAsia"/>
          <w:szCs w:val="28"/>
        </w:rPr>
        <w:t>1</w:t>
      </w:r>
      <w:r>
        <w:rPr>
          <w:rFonts w:ascii="Times New Roman" w:hint="eastAsia"/>
          <w:szCs w:val="28"/>
        </w:rPr>
        <w:t>名；围绕模型算法、数据处理等核心环节申请发明专利</w:t>
      </w:r>
      <w:r>
        <w:rPr>
          <w:rFonts w:ascii="Times New Roman" w:hint="eastAsia"/>
          <w:szCs w:val="28"/>
        </w:rPr>
        <w:t>1</w:t>
      </w:r>
      <w:r>
        <w:rPr>
          <w:rFonts w:ascii="Times New Roman" w:hint="eastAsia"/>
          <w:szCs w:val="28"/>
        </w:rPr>
        <w:t>项；开发大数据驱动的耕地质量演变预测模型和产量估测模型新方法，为数字农业的高质量发展奠定基础。</w:t>
      </w:r>
    </w:p>
    <w:sectPr w:rsidR="004A57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长城小标宋体">
    <w:altName w:val="宋体"/>
    <w:charset w:val="86"/>
    <w:family w:val="moder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japaneseCounting"/>
      <w:pStyle w:val="CharChar1"/>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9694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46A8"/>
    <w:rsid w:val="00023ABF"/>
    <w:rsid w:val="00041256"/>
    <w:rsid w:val="00097791"/>
    <w:rsid w:val="002760F7"/>
    <w:rsid w:val="002C05EF"/>
    <w:rsid w:val="00315387"/>
    <w:rsid w:val="003E4783"/>
    <w:rsid w:val="004A57C7"/>
    <w:rsid w:val="00596C2E"/>
    <w:rsid w:val="00627AE6"/>
    <w:rsid w:val="006D5C8E"/>
    <w:rsid w:val="007119C0"/>
    <w:rsid w:val="007646A8"/>
    <w:rsid w:val="007E6D08"/>
    <w:rsid w:val="008D79B6"/>
    <w:rsid w:val="00927729"/>
    <w:rsid w:val="009E1D5E"/>
    <w:rsid w:val="00BA46AA"/>
    <w:rsid w:val="00C448F0"/>
    <w:rsid w:val="00C56821"/>
    <w:rsid w:val="00CE2014"/>
    <w:rsid w:val="00D0342C"/>
    <w:rsid w:val="00E44AB4"/>
    <w:rsid w:val="00F665C7"/>
    <w:rsid w:val="00F77B78"/>
    <w:rsid w:val="23E67F77"/>
    <w:rsid w:val="634E4EC6"/>
    <w:rsid w:val="6E453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0CBB1"/>
  <w15:docId w15:val="{4CE133B2-BE39-459F-9AD8-DD6C9360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Times New Roman" w:cs="Times New Roman"/>
      <w:spacing w:val="-4"/>
      <w:kern w:val="2"/>
      <w:sz w:val="3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character" w:customStyle="1" w:styleId="a6">
    <w:name w:val="页眉 字符"/>
    <w:basedOn w:val="a0"/>
    <w:link w:val="a5"/>
    <w:qFormat/>
    <w:rPr>
      <w:rFonts w:ascii="仿宋_GB2312" w:eastAsia="仿宋_GB2312" w:hAnsi="Times New Roman" w:cs="Times New Roman"/>
      <w:spacing w:val="-4"/>
      <w:kern w:val="2"/>
      <w:sz w:val="18"/>
      <w:szCs w:val="18"/>
    </w:rPr>
  </w:style>
  <w:style w:type="character" w:customStyle="1" w:styleId="a4">
    <w:name w:val="页脚 字符"/>
    <w:basedOn w:val="a0"/>
    <w:link w:val="a3"/>
    <w:qFormat/>
    <w:rPr>
      <w:rFonts w:ascii="仿宋_GB2312" w:eastAsia="仿宋_GB2312" w:hAnsi="Times New Roman" w:cs="Times New Roman"/>
      <w:spacing w:val="-4"/>
      <w:kern w:val="2"/>
      <w:sz w:val="18"/>
      <w:szCs w:val="18"/>
    </w:rPr>
  </w:style>
  <w:style w:type="paragraph" w:customStyle="1" w:styleId="CharChar1">
    <w:name w:val="Char Char1"/>
    <w:basedOn w:val="a"/>
    <w:qFormat/>
    <w:pPr>
      <w:numPr>
        <w:numId w:val="1"/>
      </w:numPr>
    </w:pPr>
    <w:rPr>
      <w:rFonts w:hAnsi="Calibri"/>
    </w:rPr>
  </w:style>
  <w:style w:type="character" w:customStyle="1" w:styleId="10">
    <w:name w:val="标题 1 字符"/>
    <w:basedOn w:val="a0"/>
    <w:link w:val="1"/>
    <w:qFormat/>
    <w:rPr>
      <w:rFonts w:ascii="仿宋_GB2312" w:eastAsia="仿宋_GB2312" w:hAnsi="Times New Roman" w:cs="Times New Roman"/>
      <w:b/>
      <w:bCs/>
      <w:spacing w:val="-4"/>
      <w:kern w:val="44"/>
      <w:sz w:val="44"/>
      <w:szCs w:val="44"/>
    </w:rPr>
  </w:style>
  <w:style w:type="character" w:customStyle="1" w:styleId="20">
    <w:name w:val="标题 2 字符"/>
    <w:basedOn w:val="a0"/>
    <w:link w:val="2"/>
    <w:qFormat/>
    <w:rPr>
      <w:rFonts w:asciiTheme="majorHAnsi" w:eastAsiaTheme="majorEastAsia" w:hAnsiTheme="majorHAnsi" w:cstheme="majorBidi"/>
      <w:b/>
      <w:bCs/>
      <w:spacing w:val="-4"/>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administered</dc:creator>
  <cp:lastModifiedBy>可 尧</cp:lastModifiedBy>
  <cp:revision>12</cp:revision>
  <dcterms:created xsi:type="dcterms:W3CDTF">2026-03-09T07:07:00Z</dcterms:created>
  <dcterms:modified xsi:type="dcterms:W3CDTF">2026-03-12T08:42:00Z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eyJoZGlkIjoiMGRjZDQ1MGVlYTU2YzdiMDYxMzgyODVhYmIyNGNiZjciLCJ1c2VySWQiOiIxNzY4NTM4NjgyIn0=</vt:lpwstr>
  </property>
  <property fmtid="{D5CDD505-2E9C-101B-9397-08002B2CF9AE}" pid="4" name="ICV">
    <vt:lpwstr>82D5D7D1245941F2956B987208BD2D66_12</vt:lpwstr>
  </property>
</Properties>
</file>