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Malaria Cell Image Classifier — Complete Project Documentation</w:t>
      </w:r>
    </w:p>
    <w:p>
      <w:r>
        <w:t>This document provides a complete and structured explanation of the Malaria Cell Image Classifier project, including dataset details, CNN architecture, training strategy, evaluation metrics, Flask deployment, and GradCAM explainability.</w:t>
      </w:r>
    </w:p>
    <w:p>
      <w:pPr>
        <w:pStyle w:val="Heading1"/>
      </w:pPr>
      <w:r>
        <w:t>1. Project Overview</w:t>
      </w:r>
    </w:p>
    <w:p>
      <w:r>
        <w:t>This project is an end-to-end deep learning application that detects malaria from blood cell microscopy images using a Convolutional Neural Network (CNN). The system classifies images into two categories: Parasitized and Uninfected.</w:t>
      </w:r>
    </w:p>
    <w:p>
      <w:pPr>
        <w:pStyle w:val="Heading1"/>
      </w:pPr>
      <w:r>
        <w:t>2. Dataset</w:t>
      </w:r>
    </w:p>
    <w:p>
      <w:r>
        <w:t>The project uses the NIH Malaria Cell Images dataset containing approximately 27,558 microscopy images equally divided into Parasitized and Uninfected classes. The dataset is balanced, so class weighting was not required.</w:t>
      </w:r>
    </w:p>
    <w:p>
      <w:pPr>
        <w:pStyle w:val="Heading1"/>
      </w:pPr>
      <w:r>
        <w:t>3. Data Preprocessing and Augmentation</w:t>
      </w:r>
    </w:p>
    <w:p>
      <w:r>
        <w:t>All images are resized to 128×128 pixels and normalized to the range [0,1]. Training images undergo augmentation such as rotation, zoom, flipping, brightness variation, and shifting to reduce overfitting and improve generalization.</w:t>
      </w:r>
    </w:p>
    <w:p>
      <w:pPr>
        <w:pStyle w:val="Heading1"/>
      </w:pPr>
      <w:r>
        <w:t>4. CNN Architecture</w:t>
      </w:r>
    </w:p>
    <w:p>
      <w:r>
        <w:t>The custom CNN consists of multiple convolutional blocks with Batch Normalization, ReLU activation, MaxPooling, and Dropout layers. The network progressively extracts higher-level image features before classification through dense layers.</w:t>
      </w:r>
    </w:p>
    <w:p>
      <w:pPr>
        <w:pStyle w:val="Heading1"/>
      </w:pPr>
      <w:r>
        <w:t>5. Training Strategy</w:t>
      </w:r>
    </w:p>
    <w:p>
      <w:r>
        <w:t>The model was trained using the Adam optimizer with Binary Crossentropy loss. Callbacks such as EarlyStopping, ReduceLROnPlateau, and ModelCheckpoint were used to improve convergence and avoid overfitting.</w:t>
      </w:r>
    </w:p>
    <w:p>
      <w:pPr>
        <w:pStyle w:val="Heading1"/>
      </w:pPr>
      <w:r>
        <w:t>6. Model Evaluation</w:t>
      </w:r>
    </w:p>
    <w:p>
      <w:r>
        <w:t>The trained model achieved approximately 92% validation accuracy with strong precision and recall values. Confusion matrices, ROC curves, and classification reports were generated for evaluation.</w:t>
      </w:r>
    </w:p>
    <w:p>
      <w:pPr>
        <w:pStyle w:val="Heading1"/>
      </w:pPr>
      <w:r>
        <w:t>7. GradCAM Explainability</w:t>
      </w:r>
    </w:p>
    <w:p>
      <w:r>
        <w:t>GradCAM was implemented to visualize which image regions influenced the model’s prediction. Heatmaps help verify that the CNN focuses on parasite regions rather than irrelevant background.</w:t>
      </w:r>
    </w:p>
    <w:p>
      <w:pPr>
        <w:pStyle w:val="Heading1"/>
      </w:pPr>
      <w:r>
        <w:t>8. Flask Web Application</w:t>
      </w:r>
    </w:p>
    <w:p>
      <w:r>
        <w:t>The Flask application allows users to upload microscopy images and receive predictions along with confidence scores and GradCAM visualizations through a web interface.</w:t>
      </w:r>
    </w:p>
    <w:p>
      <w:pPr>
        <w:pStyle w:val="Heading1"/>
      </w:pPr>
      <w:r>
        <w:t>9. Deployment on Render</w:t>
      </w:r>
    </w:p>
    <w:p>
      <w:r>
        <w:t>The project was deployed on Render using Gunicorn as the production WSGI server. Configuration files such as Procfile, runtime.txt, and render.yaml were used for deployment setup.</w:t>
      </w:r>
    </w:p>
    <w:p>
      <w:pPr>
        <w:pStyle w:val="Heading1"/>
      </w:pPr>
      <w:r>
        <w:t>10. Technology Stack</w:t>
      </w:r>
    </w:p>
    <w:p>
      <w:r>
        <w:t>TensorFlow/Keras was used for deep learning, Flask for the web framework, NumPy and Pillow for image processing, and Matplotlib/Seaborn for visualizations.</w:t>
      </w:r>
    </w:p>
    <w:p>
      <w:pPr>
        <w:pStyle w:val="Heading1"/>
      </w:pPr>
      <w:r>
        <w:t>11. Project File Structure</w:t>
      </w:r>
    </w:p>
    <w:p>
      <w:r>
        <w:t>The repository contains folders for datasets, model outputs, Flask templates, static assets, training scripts, deployment files, and reports.</w:t>
      </w:r>
    </w:p>
    <w:p>
      <w:pPr>
        <w:pStyle w:val="Heading1"/>
      </w:pPr>
      <w:r>
        <w:t>Quick Reference</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Value</w:t>
            </w:r>
          </w:p>
        </w:tc>
      </w:tr>
      <w:tr>
        <w:tc>
          <w:tcPr>
            <w:tcW w:type="dxa" w:w="4320"/>
          </w:tcPr>
          <w:p>
            <w:r>
              <w:t>Input Image Size</w:t>
            </w:r>
          </w:p>
        </w:tc>
        <w:tc>
          <w:tcPr>
            <w:tcW w:type="dxa" w:w="4320"/>
          </w:tcPr>
          <w:p>
            <w:r>
              <w:t>128 × 128</w:t>
            </w:r>
          </w:p>
        </w:tc>
      </w:tr>
      <w:tr>
        <w:tc>
          <w:tcPr>
            <w:tcW w:type="dxa" w:w="4320"/>
          </w:tcPr>
          <w:p>
            <w:r>
              <w:t>Classes</w:t>
            </w:r>
          </w:p>
        </w:tc>
        <w:tc>
          <w:tcPr>
            <w:tcW w:type="dxa" w:w="4320"/>
          </w:tcPr>
          <w:p>
            <w:r>
              <w:t>Parasitized, Uninfected</w:t>
            </w:r>
          </w:p>
        </w:tc>
      </w:tr>
      <w:tr>
        <w:tc>
          <w:tcPr>
            <w:tcW w:type="dxa" w:w="4320"/>
          </w:tcPr>
          <w:p>
            <w:r>
              <w:t>Model Accuracy</w:t>
            </w:r>
          </w:p>
        </w:tc>
        <w:tc>
          <w:tcPr>
            <w:tcW w:type="dxa" w:w="4320"/>
          </w:tcPr>
          <w:p>
            <w:r>
              <w:t>92%</w:t>
            </w:r>
          </w:p>
        </w:tc>
      </w:tr>
      <w:tr>
        <w:tc>
          <w:tcPr>
            <w:tcW w:type="dxa" w:w="4320"/>
          </w:tcPr>
          <w:p>
            <w:r>
              <w:t>Framework</w:t>
            </w:r>
          </w:p>
        </w:tc>
        <w:tc>
          <w:tcPr>
            <w:tcW w:type="dxa" w:w="4320"/>
          </w:tcPr>
          <w:p>
            <w:r>
              <w:t>TensorFlow/Keras</w:t>
            </w:r>
          </w:p>
        </w:tc>
      </w:tr>
      <w:tr>
        <w:tc>
          <w:tcPr>
            <w:tcW w:type="dxa" w:w="4320"/>
          </w:tcPr>
          <w:p>
            <w:r>
              <w:t>Backend</w:t>
            </w:r>
          </w:p>
        </w:tc>
        <w:tc>
          <w:tcPr>
            <w:tcW w:type="dxa" w:w="4320"/>
          </w:tcPr>
          <w:p>
            <w:r>
              <w:t>Flask</w:t>
            </w:r>
          </w:p>
        </w:tc>
      </w:tr>
      <w:tr>
        <w:tc>
          <w:tcPr>
            <w:tcW w:type="dxa" w:w="4320"/>
          </w:tcPr>
          <w:p>
            <w:r>
              <w:t>Deployment</w:t>
            </w:r>
          </w:p>
        </w:tc>
        <w:tc>
          <w:tcPr>
            <w:tcW w:type="dxa" w:w="4320"/>
          </w:tcPr>
          <w:p>
            <w:r>
              <w:t>Render</w:t>
            </w:r>
          </w:p>
        </w:tc>
      </w:tr>
      <w:tr>
        <w:tc>
          <w:tcPr>
            <w:tcW w:type="dxa" w:w="4320"/>
          </w:tcPr>
          <w:p>
            <w:r>
              <w:t>Model Type</w:t>
            </w:r>
          </w:p>
        </w:tc>
        <w:tc>
          <w:tcPr>
            <w:tcW w:type="dxa" w:w="4320"/>
          </w:tcPr>
          <w:p>
            <w:r>
              <w:t>CNN</w:t>
            </w:r>
          </w:p>
        </w:tc>
      </w:tr>
      <w:tr>
        <w:tc>
          <w:tcPr>
            <w:tcW w:type="dxa" w:w="4320"/>
          </w:tcPr>
          <w:p>
            <w:r>
              <w:t>Explainability</w:t>
            </w:r>
          </w:p>
        </w:tc>
        <w:tc>
          <w:tcPr>
            <w:tcW w:type="dxa" w:w="4320"/>
          </w:tcPr>
          <w:p>
            <w:r>
              <w:t>GradCAM</w:t>
            </w:r>
          </w:p>
        </w:tc>
      </w:tr>
    </w:tbl>
    <w:p>
      <w:pPr>
        <w:pStyle w:val="Heading1"/>
      </w:pPr>
      <w:r>
        <w:t>Conclusion</w:t>
      </w:r>
    </w:p>
    <w:p>
      <w:r>
        <w:t>This project demonstrates the complete lifecycle of a deep learning application including data preprocessing, CNN training, evaluation, explainability, web deployment, and cloud hosting. It combines machine learning and software engineering into a practical healthcare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