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B2A4A" w:val="clear"/>
        <w:spacing w:after="0" w:before="0" w:line="1"/>
      </w:pPr>
      <w:r>
        <w:rPr>
          <w:rFonts w:ascii="Calibri" w:cs="Calibri" w:eastAsia="Calibri" w:hAnsi="Calibri"/>
        </w:rPr>
        <w:t xml:space="preserve"/>
      </w:r>
    </w:p>
    <w:p>
      <w:pPr>
        <w:shd w:fill="1B2A4A" w:val="clear"/>
        <w:spacing w:after="0" w:before="2600"/>
        <w:jc w:val="center"/>
      </w:pPr>
      <w:r>
        <w:rPr>
          <w:rFonts w:ascii="Calibri" w:cs="Calibri" w:eastAsia="Calibri" w:hAnsi="Calibri"/>
          <w:b/>
          <w:bCs/>
          <w:color w:val="0D6E6E"/>
          <w:sz w:val="20"/>
          <w:szCs w:val="20"/>
        </w:rPr>
        <w:t xml:space="preserve">ENTERPRISE AI STRATEGY</w:t>
      </w:r>
    </w:p>
    <w:p>
      <w:pPr>
        <w:shd w:fill="1B2A4A" w:val="clear"/>
        <w:spacing w:after="0" w:before="80"/>
        <w:jc w:val="center"/>
      </w:pPr>
      <w:r>
        <w:rPr>
          <w:rFonts w:ascii="Calibri" w:cs="Calibri" w:eastAsia="Calibri" w:hAnsi="Calibri"/>
          <w:b w:val="false"/>
          <w:bCs w:val="false"/>
          <w:color w:val="AACCEE"/>
          <w:sz w:val="16"/>
          <w:szCs w:val="16"/>
        </w:rPr>
        <w:t xml:space="preserve">WHITE PAPER</w:t>
      </w:r>
    </w:p>
    <w:p>
      <w:pPr>
        <w:shd w:fill="1B2A4A" w:val="clear"/>
        <w:spacing w:after="0" w:before="480"/>
        <w:jc w:val="center"/>
      </w:pPr>
      <w:r>
        <w:rPr>
          <w:rFonts w:ascii="Calibri" w:cs="Calibri" w:eastAsia="Calibri" w:hAnsi="Calibri"/>
          <w:b/>
          <w:bCs/>
          <w:color w:val="FFFFFF"/>
          <w:sz w:val="72"/>
          <w:szCs w:val="72"/>
        </w:rPr>
        <w:t xml:space="preserve">AI-blement of the Enterprise</w:t>
      </w:r>
    </w:p>
    <w:p>
      <w:pPr>
        <w:shd w:fill="1B2A4A" w:val="clear"/>
        <w:spacing w:after="0" w:before="160"/>
        <w:jc w:val="center"/>
      </w:pPr>
      <w:r>
        <w:rPr>
          <w:rFonts w:ascii="Calibri" w:cs="Calibri" w:eastAsia="Calibri" w:hAnsi="Calibri"/>
          <w:b w:val="false"/>
          <w:bCs w:val="false"/>
          <w:color w:val="D0E8F8"/>
          <w:sz w:val="44"/>
          <w:szCs w:val="44"/>
        </w:rPr>
        <w:t xml:space="preserve">Through Proper Deployment of AI Solutions</w:t>
      </w:r>
    </w:p>
    <w:p>
      <w:pPr>
        <w:shd w:fill="1B2A4A" w:val="clear"/>
        <w:spacing w:after="0" w:before="320"/>
        <w:jc w:val="center"/>
      </w:pPr>
      <w:r>
        <w:rPr>
          <w:rFonts w:ascii="Calibri" w:cs="Calibri" w:eastAsia="Calibri" w:hAnsi="Calibri"/>
          <w:color w:val="0D6E6E"/>
          <w:sz w:val="24"/>
          <w:szCs w:val="24"/>
        </w:rPr>
        <w:t xml:space="preserve">—</w:t>
      </w:r>
    </w:p>
    <w:p>
      <w:pPr>
        <w:shd w:fill="1B2A4A" w:val="clear"/>
        <w:spacing w:after="4400" w:before="240"/>
        <w:ind w:left="1440" w:right="1440"/>
        <w:jc w:val="center"/>
      </w:pPr>
      <w:r>
        <w:rPr>
          <w:rFonts w:ascii="Georgia" w:cs="Georgia" w:eastAsia="Georgia" w:hAnsi="Georgia"/>
          <w:i/>
          <w:iCs/>
          <w:color w:val="B8D4E8"/>
          <w:sz w:val="22"/>
          <w:szCs w:val="22"/>
        </w:rPr>
        <w:t xml:space="preserve">A comprehensive framework for secure, compliant, and innovation-driven AI adoption in software enterprises</w:t>
      </w:r>
    </w:p>
    <w:p>
      <w:pPr>
        <w:shd w:fill="0D1F35" w:val="clear"/>
        <w:spacing w:after="240" w:before="240"/>
        <w:jc w:val="center"/>
      </w:pPr>
      <w:r>
        <w:rPr>
          <w:rFonts w:ascii="Calibri" w:cs="Calibri" w:eastAsia="Calibri" w:hAnsi="Calibri"/>
          <w:color w:val="AACCEE"/>
          <w:sz w:val="18"/>
          <w:szCs w:val="18"/>
        </w:rPr>
        <w:t xml:space="preserve">Version 1.0   •   March 2026   •   Applicable: All Roles, Intern to CTO</w:t>
      </w:r>
    </w:p>
    <w:p>
      <w:pPr>
        <w:shd w:fill="0D1F35" w:val="clear"/>
        <w:spacing w:after="600" w:before="0"/>
        <w:jc w:val="center"/>
      </w:pPr>
      <w:r>
        <w:rPr>
          <w:rFonts w:ascii="Calibri" w:cs="Calibri" w:eastAsia="Calibri" w:hAnsi="Calibri"/>
          <w:color w:val="7AAABB"/>
          <w:sz w:val="16"/>
          <w:szCs w:val="16"/>
        </w:rPr>
        <w:t xml:space="preserve">Standards Alignment: ISO 27001 • ISO 27017 • ISO 27018 • ISO 42001 • SOC 2 Type II • GDPR • EU AI Act • NIST AI RMF</w:t>
      </w:r>
    </w:p>
    <w:p>
      <w:pPr>
        <w:spacing w:after="0" w:before="0"/>
      </w:pPr>
      <w:r>
        <w:br w:type="page"/>
      </w:r>
    </w:p>
    <w:p>
      <w:pPr>
        <w:sectPr>
          <w:pgSz w:w="11906" w:h="16838" w:orient="portrait"/>
          <w:pgMar w:top="0" w:right="0" w:bottom="0" w:left="0" w:header="708" w:footer="708" w:gutter="0"/>
          <w:pgNumType/>
          <w:docGrid w:linePitch="360"/>
        </w:sectPr>
      </w:pPr>
    </w:p>
    <w:p>
      <w:pPr>
        <w:spacing w:after="0" w:before="240"/>
      </w:pPr>
    </w:p>
    <w:p>
      <w:pPr>
        <w:spacing w:after="60" w:before="0"/>
      </w:pPr>
      <w:r>
        <w:rPr>
          <w:rFonts w:ascii="Calibri" w:cs="Calibri" w:eastAsia="Calibri" w:hAnsi="Calibri"/>
          <w:b/>
          <w:bCs/>
          <w:color w:val="0D6E6E"/>
          <w:sz w:val="13"/>
          <w:szCs w:val="13"/>
        </w:rPr>
        <w:t xml:space="preserve">  </w:t>
      </w:r>
      <w:r>
        <w:rPr>
          <w:rFonts w:ascii="Calibri" w:cs="Calibri" w:eastAsia="Calibri" w:hAnsi="Calibri"/>
          <w:b/>
          <w:bCs/>
          <w:color w:val="4A4A4A"/>
          <w:sz w:val="13"/>
          <w:szCs w:val="13"/>
        </w:rPr>
        <w:t xml:space="preserve">EXECUTIVE SUMMARY</w:t>
      </w:r>
    </w:p>
    <w:p>
      <w:pPr>
        <w:pStyle w:val="Heading1"/>
        <w:pBdr>
          <w:bottom w:val="single" w:color="0D6E6E" w:sz="6"/>
        </w:pBdr>
        <w:shd w:fill="1B2A4A" w:val="clear"/>
        <w:spacing w:after="200" w:before="0"/>
        <w:ind w:left="240" w:right="240"/>
      </w:pPr>
      <w:r>
        <w:rPr>
          <w:rFonts w:ascii="Calibri" w:cs="Calibri" w:eastAsia="Calibri" w:hAnsi="Calibri"/>
          <w:b/>
          <w:bCs/>
          <w:color w:val="FFFFFF"/>
          <w:sz w:val="36"/>
          <w:szCs w:val="36"/>
        </w:rPr>
        <w:t xml:space="preserve">Executive Summary</w:t>
      </w:r>
    </w:p>
    <w:p>
      <w:pPr>
        <w:spacing w:after="120" w:before="80" w:line="320"/>
        <w:jc w:val="both"/>
      </w:pPr>
      <w:r>
        <w:rPr>
          <w:rFonts w:ascii="Georgia" w:cs="Georgia" w:eastAsia="Georgia" w:hAnsi="Georgia"/>
          <w:color w:val="1A1A1A"/>
          <w:sz w:val="22"/>
          <w:szCs w:val="22"/>
        </w:rPr>
        <w:t xml:space="preserve">Artificial intelligence is no longer a future investment — it is an active force reshaping how software is conceived, written, tested, and deployed. Enterprises that navigate this transition thoughtfully will compound their competitive advantages; those that adopt AI reactively, without governance, will inherit a growing debt of security vulnerabilities, compliance exposure, and organisational liability.</w:t>
      </w:r>
    </w:p>
    <w:p>
      <w:pPr>
        <w:spacing w:after="120" w:before="80" w:line="320"/>
        <w:jc w:val="both"/>
      </w:pPr>
      <w:r>
        <w:rPr>
          <w:rFonts w:ascii="Georgia" w:cs="Georgia" w:eastAsia="Georgia" w:hAnsi="Georgia"/>
          <w:color w:val="1A1A1A"/>
          <w:sz w:val="22"/>
          <w:szCs w:val="22"/>
        </w:rPr>
        <w:t xml:space="preserve">This white paper presents the AI-blement Enterprise Framework: a structured, role-aware, compliance-aligned approach to embedding AI into the software development lifecycle. Drawing on real-world adoption patterns from AWS, Stripe, StrongDM, and other technology leaders, the framework is designed to be adopted by any software organisation — whether building client-facing services or proprietary products — without spiralling costs or sacrificing the human oversight that remains legally and ethically essential.</w:t>
      </w:r>
    </w:p>
    <w:p>
      <w:pPr>
        <w:spacing w:after="0" w:before="80"/>
      </w:pPr>
    </w:p>
    <w:p>
      <w:pPr>
        <w:pBdr>
          <w:left w:val="single" w:color="0D6E6E" w:sz="16" w:space="8"/>
        </w:pBdr>
        <w:shd w:fill="E8F1F8" w:val="clear"/>
        <w:spacing w:after="160" w:before="160" w:line="320"/>
        <w:ind w:left="360" w:right="360"/>
      </w:pPr>
      <w:r>
        <w:rPr>
          <w:rFonts w:ascii="Georgia" w:cs="Georgia" w:eastAsia="Georgia" w:hAnsi="Georgia"/>
          <w:i/>
          <w:iCs/>
          <w:color w:val="1B2A4A"/>
          <w:sz w:val="22"/>
          <w:szCs w:val="22"/>
        </w:rPr>
        <w:t xml:space="preserve">The central thesis of this paper: AI should be treated as a first-class engineering collaborator — not a free-text search engine. That means institutional memory, governed tooling, structured oversight, and clear human accountability at every level of the organisation.</w:t>
      </w:r>
    </w:p>
    <w:p>
      <w:pPr>
        <w:spacing w:after="0" w:before="80"/>
      </w:pPr>
    </w:p>
    <w:p>
      <w:pPr>
        <w:spacing w:after="120" w:before="80" w:line="320"/>
        <w:jc w:val="both"/>
      </w:pPr>
      <w:r>
        <w:rPr>
          <w:rFonts w:ascii="Georgia" w:cs="Georgia" w:eastAsia="Georgia" w:hAnsi="Georgia"/>
          <w:color w:val="1A1A1A"/>
          <w:sz w:val="22"/>
          <w:szCs w:val="22"/>
        </w:rPr>
        <w:t xml:space="preserve">The framework is built around five operational pillars: a Central AI Registry that governs all tools, prompts, agents, and integrations; a Five-Tier access model that scales from productivity tools to fully autonomous agents; an AI-Driven Development Lifecycle that embeds human checkpoints at every phase; a cost governance model that prevents runaway spend; and a 90-day adoption roadmap that prioritises working software over theoretical perfection.</w:t>
      </w:r>
    </w:p>
    <w:p>
      <w:pPr>
        <w:spacing w:after="0" w:before="0"/>
      </w:pPr>
      <w:r>
        <w:br w:type="page"/>
      </w:r>
    </w:p>
    <w:p>
      <w:pPr>
        <w:spacing w:after="0" w:before="240"/>
      </w:pPr>
    </w:p>
    <w:p>
      <w:pPr>
        <w:spacing w:after="60" w:before="0"/>
      </w:pPr>
      <w:r>
        <w:rPr>
          <w:rFonts w:ascii="Calibri" w:cs="Calibri" w:eastAsia="Calibri" w:hAnsi="Calibri"/>
          <w:b/>
          <w:bCs/>
          <w:color w:val="0D6E6E"/>
          <w:sz w:val="13"/>
          <w:szCs w:val="13"/>
        </w:rPr>
        <w:t xml:space="preserve">1  </w:t>
      </w:r>
      <w:r>
        <w:rPr>
          <w:rFonts w:ascii="Calibri" w:cs="Calibri" w:eastAsia="Calibri" w:hAnsi="Calibri"/>
          <w:b/>
          <w:bCs/>
          <w:color w:val="4A4A4A"/>
          <w:sz w:val="13"/>
          <w:szCs w:val="13"/>
        </w:rPr>
        <w:t xml:space="preserve">THE COMPLIANCE LANDSCAPE IS SHIFTING — NOT COLLAPSING</w:t>
      </w:r>
    </w:p>
    <w:p>
      <w:pPr>
        <w:pStyle w:val="Heading1"/>
        <w:pBdr>
          <w:bottom w:val="single" w:color="0D6E6E" w:sz="6"/>
        </w:pBdr>
        <w:shd w:fill="1B2A4A" w:val="clear"/>
        <w:spacing w:after="200" w:before="0"/>
        <w:ind w:left="240" w:right="240"/>
      </w:pPr>
      <w:r>
        <w:rPr>
          <w:rFonts w:ascii="Calibri" w:cs="Calibri" w:eastAsia="Calibri" w:hAnsi="Calibri"/>
          <w:b/>
          <w:bCs/>
          <w:color w:val="FFFFFF"/>
          <w:sz w:val="36"/>
          <w:szCs w:val="36"/>
        </w:rPr>
        <w:t xml:space="preserve">The Compliance Landscape Is Shifting — Not Collapsing</w:t>
      </w:r>
    </w:p>
    <w:p>
      <w:pPr>
        <w:spacing w:after="120" w:before="80" w:line="320"/>
        <w:jc w:val="both"/>
      </w:pPr>
      <w:r>
        <w:rPr>
          <w:rFonts w:ascii="Georgia" w:cs="Georgia" w:eastAsia="Georgia" w:hAnsi="Georgia"/>
          <w:color w:val="1A1A1A"/>
          <w:sz w:val="22"/>
          <w:szCs w:val="22"/>
        </w:rPr>
        <w:t xml:space="preserve">The software industry has spent two decades building compliance infrastructure around a fundamental assumption: that humans make security-relevant decisions consciously and accountably. ISO 27001, SOC 2 Type II, GDPR, and their siblings were designed for a world in which a developer wrote code, a reviewer audited it, and a traceable chain of human decisions led from requirement to production deployment.</w:t>
      </w:r>
    </w:p>
    <w:p>
      <w:pPr>
        <w:spacing w:after="120" w:before="80" w:line="320"/>
        <w:jc w:val="both"/>
      </w:pPr>
      <w:r>
        <w:rPr>
          <w:rFonts w:ascii="Georgia" w:cs="Georgia" w:eastAsia="Georgia" w:hAnsi="Georgia"/>
          <w:color w:val="1A1A1A"/>
          <w:sz w:val="22"/>
          <w:szCs w:val="22"/>
        </w:rPr>
        <w:t xml:space="preserve">Agentic AI breaks that chain — not by eliminating humans, but by inserting a probabilistic intermediary between human intent and delivered output. The compliance question is no longer whether the right process was followed, but whether the right process was followed for code that no single human fully authored.</w:t>
      </w:r>
    </w:p>
    <w:p>
      <w:pPr>
        <w:pStyle w:val="Heading2"/>
        <w:pBdr>
          <w:bottom w:val="single" w:color="0D6E6E" w:sz="4" w:space="4"/>
        </w:pBdr>
        <w:spacing w:after="120" w:before="320"/>
      </w:pPr>
      <w:r>
        <w:rPr>
          <w:rFonts w:ascii="Calibri" w:cs="Calibri" w:eastAsia="Calibri" w:hAnsi="Calibri"/>
          <w:b/>
          <w:bCs/>
          <w:color w:val="0D6E6E"/>
          <w:sz w:val="28"/>
          <w:szCs w:val="28"/>
        </w:rPr>
        <w:t xml:space="preserve">1.1  The Known Failure Modes of AI-Generated Code</w:t>
      </w:r>
    </w:p>
    <w:p>
      <w:pPr>
        <w:spacing w:after="120" w:before="80" w:line="320"/>
        <w:jc w:val="both"/>
      </w:pPr>
      <w:r>
        <w:rPr>
          <w:rFonts w:ascii="Georgia" w:cs="Georgia" w:eastAsia="Georgia" w:hAnsi="Georgia"/>
          <w:color w:val="1A1A1A"/>
          <w:sz w:val="22"/>
          <w:szCs w:val="22"/>
        </w:rPr>
        <w:t xml:space="preserve">The data from early large-scale adoption is instructive. Research by Veracode in 2025 found that AI introduces security vulnerabilities in approximately 45% of unconstrained generation cases. A separate industry survey found that 69% of security leaders had identified serious vulnerabilities in AI-generated code within the prior twelve months. Nearly half of developers admit to not reviewing AI output before committing it — creating what researchers have termed "the illusion of correctness."</w:t>
      </w:r>
    </w:p>
    <w:p>
      <w:pPr>
        <w:spacing w:after="120" w:before="80" w:line="320"/>
        <w:jc w:val="both"/>
      </w:pPr>
      <w:r>
        <w:rPr>
          <w:rFonts w:ascii="Georgia" w:cs="Georgia" w:eastAsia="Georgia" w:hAnsi="Georgia"/>
          <w:color w:val="1A1A1A"/>
          <w:sz w:val="22"/>
          <w:szCs w:val="22"/>
        </w:rPr>
        <w:t xml:space="preserve">These are not edge-case statistics. They describe the default behaviour of AI coding tools when used without structured governance. For enterprises operating under ISO 27001 Annex A, SOC 2 CC6, or GDPR Article 25, this default is unacceptable.</w:t>
      </w:r>
    </w:p>
    <w:p>
      <w:pPr>
        <w:pStyle w:val="Heading2"/>
        <w:pBdr>
          <w:bottom w:val="single" w:color="0D6E6E" w:sz="4" w:space="4"/>
        </w:pBdr>
        <w:spacing w:after="120" w:before="320"/>
      </w:pPr>
      <w:r>
        <w:rPr>
          <w:rFonts w:ascii="Calibri" w:cs="Calibri" w:eastAsia="Calibri" w:hAnsi="Calibri"/>
          <w:b/>
          <w:bCs/>
          <w:color w:val="0D6E6E"/>
          <w:sz w:val="28"/>
          <w:szCs w:val="28"/>
        </w:rPr>
        <w:t xml:space="preserve">1.2  How Existing Standards Are Stressed</w:t>
      </w:r>
    </w:p>
    <w:p>
      <w:pPr>
        <w:spacing w:after="120" w:before="80" w:line="320"/>
        <w:jc w:val="both"/>
      </w:pPr>
      <w:r>
        <w:rPr>
          <w:rFonts w:ascii="Georgia" w:cs="Georgia" w:eastAsia="Georgia" w:hAnsi="Georgia"/>
          <w:color w:val="1A1A1A"/>
          <w:sz w:val="22"/>
          <w:szCs w:val="22"/>
        </w:rPr>
        <w:t xml:space="preserve">ISO 27001 relies on Annex A controls for secure development lifecycle management. Those controls assume a human authored the risk. When a coding agent generates an authentication flow, there is no requirement in the current standard for the agent's output to be treated as untrusted input — yet all evidence suggests it should be.</w:t>
      </w:r>
    </w:p>
    <w:p>
      <w:pPr>
        <w:spacing w:after="120" w:before="80" w:line="320"/>
        <w:jc w:val="both"/>
      </w:pPr>
      <w:r>
        <w:rPr>
          <w:rFonts w:ascii="Georgia" w:cs="Georgia" w:eastAsia="Georgia" w:hAnsi="Georgia"/>
          <w:color w:val="1A1A1A"/>
          <w:sz w:val="22"/>
          <w:szCs w:val="22"/>
        </w:rPr>
        <w:t xml:space="preserve">ISO 27018 governs personal data in cloud environments. AI coding assistants do not inherently understand a project's data classification model. They generate database schemas, API endpoints, and logging logic without knowledge of which fields contain personally identifiable information and which do not. Privacy-by-design — required by GDPR Article 25 — cannot be delegated to a model trained on the open internet.</w:t>
      </w:r>
    </w:p>
    <w:p>
      <w:pPr>
        <w:spacing w:after="120" w:before="80" w:line="320"/>
        <w:jc w:val="both"/>
      </w:pPr>
      <w:r>
        <w:rPr>
          <w:rFonts w:ascii="Georgia" w:cs="Georgia" w:eastAsia="Georgia" w:hAnsi="Georgia"/>
          <w:color w:val="1A1A1A"/>
          <w:sz w:val="22"/>
          <w:szCs w:val="22"/>
        </w:rPr>
        <w:t xml:space="preserve">SOC 2 Type II requires documented evidence of controls operating over time. The introduction of AI tools that transmit code, context, and sometimes production data to external LLM providers creates an immediate sub-processor and data-boundary question that most enterprise AI tool agreements have not adequately resolved.</w:t>
      </w:r>
    </w:p>
    <w:p>
      <w:pPr>
        <w:pStyle w:val="Heading2"/>
        <w:pBdr>
          <w:bottom w:val="single" w:color="0D6E6E" w:sz="4" w:space="4"/>
        </w:pBdr>
        <w:spacing w:after="120" w:before="320"/>
      </w:pPr>
      <w:r>
        <w:rPr>
          <w:rFonts w:ascii="Calibri" w:cs="Calibri" w:eastAsia="Calibri" w:hAnsi="Calibri"/>
          <w:b/>
          <w:bCs/>
          <w:color w:val="0D6E6E"/>
          <w:sz w:val="28"/>
          <w:szCs w:val="28"/>
        </w:rPr>
        <w:t xml:space="preserve">1.3  Emerging Standards Filling the Gap</w:t>
      </w:r>
    </w:p>
    <w:p>
      <w:pPr>
        <w:spacing w:after="120" w:before="80" w:line="320"/>
        <w:jc w:val="both"/>
      </w:pPr>
      <w:r>
        <w:rPr>
          <w:rFonts w:ascii="Georgia" w:cs="Georgia" w:eastAsia="Georgia" w:hAnsi="Georgia"/>
          <w:color w:val="1A1A1A"/>
          <w:sz w:val="22"/>
          <w:szCs w:val="22"/>
        </w:rPr>
        <w:t xml:space="preserve">The standards community has begun to respond. ISO/IEC 42001:2023 is the first international AI management system standard, providing a Plan-Do-Check-Act framework for governing AI systems across their lifecycle. ISO/IEC 42005:2025 extends this with a structured AI impact assessment methodology. The EU AI Act, with general-purpose AI compliance obligations in effect from August 2025, introduces the most legally enforceable framework to date, classifying AI systems by risk level and mandating transparency, human oversight, and incident reporting for high-risk applications.</w:t>
      </w:r>
    </w:p>
    <w:p>
      <w:pPr>
        <w:spacing w:after="120" w:before="80" w:line="320"/>
        <w:jc w:val="both"/>
      </w:pPr>
      <w:r>
        <w:rPr>
          <w:rFonts w:ascii="Georgia" w:cs="Georgia" w:eastAsia="Georgia" w:hAnsi="Georgia"/>
          <w:color w:val="1A1A1A"/>
          <w:sz w:val="22"/>
          <w:szCs w:val="22"/>
        </w:rPr>
        <w:t xml:space="preserve">Critically, none of these frameworks yet address the narrow but high-risk question of AI involvement in production software development pipelines with the specificity that enterprise security teams require. This white paper addresses that gap directly.</w:t>
      </w:r>
    </w:p>
    <w:p>
      <w:pPr>
        <w:spacing w:after="0" w:before="0"/>
      </w:pPr>
      <w:r>
        <w:br w:type="page"/>
      </w:r>
    </w:p>
    <w:p>
      <w:pPr>
        <w:spacing w:after="0" w:before="240"/>
      </w:pPr>
    </w:p>
    <w:p>
      <w:pPr>
        <w:spacing w:after="60" w:before="0"/>
      </w:pPr>
      <w:r>
        <w:rPr>
          <w:rFonts w:ascii="Calibri" w:cs="Calibri" w:eastAsia="Calibri" w:hAnsi="Calibri"/>
          <w:b/>
          <w:bCs/>
          <w:color w:val="0D6E6E"/>
          <w:sz w:val="13"/>
          <w:szCs w:val="13"/>
        </w:rPr>
        <w:t xml:space="preserve">2  </w:t>
      </w:r>
      <w:r>
        <w:rPr>
          <w:rFonts w:ascii="Calibri" w:cs="Calibri" w:eastAsia="Calibri" w:hAnsi="Calibri"/>
          <w:b/>
          <w:bCs/>
          <w:color w:val="4A4A4A"/>
          <w:sz w:val="13"/>
          <w:szCs w:val="13"/>
        </w:rPr>
        <w:t xml:space="preserve">FRAMEWORK PHILOSOPHY AND CORE PRINCIPLES</w:t>
      </w:r>
    </w:p>
    <w:p>
      <w:pPr>
        <w:pStyle w:val="Heading1"/>
        <w:pBdr>
          <w:bottom w:val="single" w:color="0D6E6E" w:sz="6"/>
        </w:pBdr>
        <w:shd w:fill="1B2A4A" w:val="clear"/>
        <w:spacing w:after="200" w:before="0"/>
        <w:ind w:left="240" w:right="240"/>
      </w:pPr>
      <w:r>
        <w:rPr>
          <w:rFonts w:ascii="Calibri" w:cs="Calibri" w:eastAsia="Calibri" w:hAnsi="Calibri"/>
          <w:b/>
          <w:bCs/>
          <w:color w:val="FFFFFF"/>
          <w:sz w:val="36"/>
          <w:szCs w:val="36"/>
        </w:rPr>
        <w:t xml:space="preserve">Framework Philosophy and Core Principles</w:t>
      </w:r>
    </w:p>
    <w:p>
      <w:pPr>
        <w:spacing w:after="120" w:before="80" w:line="320"/>
        <w:jc w:val="both"/>
      </w:pPr>
      <w:r>
        <w:rPr>
          <w:rFonts w:ascii="Georgia" w:cs="Georgia" w:eastAsia="Georgia" w:hAnsi="Georgia"/>
          <w:color w:val="1A1A1A"/>
          <w:sz w:val="22"/>
          <w:szCs w:val="22"/>
        </w:rPr>
        <w:t xml:space="preserve">Before any architecture, tooling, or process, a framework must be grounded in principles that resolve the inevitable tensions between innovation speed, security rigour, and adoption reality. The following six principles govern every decision in the AI-blement Framework.</w:t>
      </w:r>
    </w:p>
    <w:p>
      <w:pPr>
        <w:pStyle w:val="Heading2"/>
        <w:pBdr>
          <w:bottom w:val="single" w:color="0D6E6E" w:sz="4" w:space="4"/>
        </w:pBdr>
        <w:spacing w:after="120" w:before="320"/>
      </w:pPr>
      <w:r>
        <w:rPr>
          <w:rFonts w:ascii="Calibri" w:cs="Calibri" w:eastAsia="Calibri" w:hAnsi="Calibri"/>
          <w:b/>
          <w:bCs/>
          <w:color w:val="0D6E6E"/>
          <w:sz w:val="28"/>
          <w:szCs w:val="28"/>
        </w:rPr>
        <w:t xml:space="preserve">Principle 1: Human Accountability Is Non-Negotiable</w:t>
      </w:r>
    </w:p>
    <w:p>
      <w:pPr>
        <w:spacing w:after="120" w:before="80" w:line="320"/>
        <w:jc w:val="both"/>
      </w:pPr>
      <w:r>
        <w:rPr>
          <w:rFonts w:ascii="Georgia" w:cs="Georgia" w:eastAsia="Georgia" w:hAnsi="Georgia"/>
          <w:color w:val="1A1A1A"/>
          <w:sz w:val="22"/>
          <w:szCs w:val="22"/>
        </w:rPr>
        <w:t xml:space="preserve">Every line of AI-generated code that reaches production carries a named human owner who is responsible for its correctness, security, and compliance. AI proposes; humans decide. This principle is not a constraint on AI capability — it is the legal and ethical foundation without which no enterprise can responsibly deploy agentic systems.</w:t>
      </w:r>
    </w:p>
    <w:p>
      <w:pPr>
        <w:pStyle w:val="Heading2"/>
        <w:pBdr>
          <w:bottom w:val="single" w:color="0D6E6E" w:sz="4" w:space="4"/>
        </w:pBdr>
        <w:spacing w:after="120" w:before="320"/>
      </w:pPr>
      <w:r>
        <w:rPr>
          <w:rFonts w:ascii="Calibri" w:cs="Calibri" w:eastAsia="Calibri" w:hAnsi="Calibri"/>
          <w:b/>
          <w:bCs/>
          <w:color w:val="0D6E6E"/>
          <w:sz w:val="28"/>
          <w:szCs w:val="28"/>
        </w:rPr>
        <w:t xml:space="preserve">Principle 2: Security Is Designed In, Not Bolted On</w:t>
      </w:r>
    </w:p>
    <w:p>
      <w:pPr>
        <w:spacing w:after="120" w:before="80" w:line="320"/>
        <w:jc w:val="both"/>
      </w:pPr>
      <w:r>
        <w:rPr>
          <w:rFonts w:ascii="Georgia" w:cs="Georgia" w:eastAsia="Georgia" w:hAnsi="Georgia"/>
          <w:color w:val="1A1A1A"/>
          <w:sz w:val="22"/>
          <w:szCs w:val="22"/>
        </w:rPr>
        <w:t xml:space="preserve">Security gates in the AI development pipeline are mandatory and automated, not optional safeguards applied after the fact. AI-generated output is treated with the same scepticism as any untrusted third-party input — because statistically, it deserves to be.</w:t>
      </w:r>
    </w:p>
    <w:p>
      <w:pPr>
        <w:pStyle w:val="Heading2"/>
        <w:pBdr>
          <w:bottom w:val="single" w:color="0D6E6E" w:sz="4" w:space="4"/>
        </w:pBdr>
        <w:spacing w:after="120" w:before="320"/>
      </w:pPr>
      <w:r>
        <w:rPr>
          <w:rFonts w:ascii="Calibri" w:cs="Calibri" w:eastAsia="Calibri" w:hAnsi="Calibri"/>
          <w:b/>
          <w:bCs/>
          <w:color w:val="0D6E6E"/>
          <w:sz w:val="28"/>
          <w:szCs w:val="28"/>
        </w:rPr>
        <w:t xml:space="preserve">Principle 3: Compliance Context Is Injected at the Source</w:t>
      </w:r>
    </w:p>
    <w:p>
      <w:pPr>
        <w:spacing w:after="120" w:before="80" w:line="320"/>
        <w:jc w:val="both"/>
      </w:pPr>
      <w:r>
        <w:rPr>
          <w:rFonts w:ascii="Georgia" w:cs="Georgia" w:eastAsia="Georgia" w:hAnsi="Georgia"/>
          <w:color w:val="1A1A1A"/>
          <w:sz w:val="22"/>
          <w:szCs w:val="22"/>
        </w:rPr>
        <w:t xml:space="preserve">Developers working on a GDPR-regulated system or a PCI-DSS-scoped project should not need to memorise the compliance requirements relevant to their prompts. The framework injects that context automatically, ensuring that every AI interaction on a regulated project operates with awareness of the relevant constraints.</w:t>
      </w:r>
    </w:p>
    <w:p>
      <w:pPr>
        <w:pStyle w:val="Heading2"/>
        <w:pBdr>
          <w:bottom w:val="single" w:color="0D6E6E" w:sz="4" w:space="4"/>
        </w:pBdr>
        <w:spacing w:after="120" w:before="320"/>
      </w:pPr>
      <w:r>
        <w:rPr>
          <w:rFonts w:ascii="Calibri" w:cs="Calibri" w:eastAsia="Calibri" w:hAnsi="Calibri"/>
          <w:b/>
          <w:bCs/>
          <w:color w:val="0D6E6E"/>
          <w:sz w:val="28"/>
          <w:szCs w:val="28"/>
        </w:rPr>
        <w:t xml:space="preserve">Principle 4: Centralised Trust, Decentralised Execution</w:t>
      </w:r>
    </w:p>
    <w:p>
      <w:pPr>
        <w:spacing w:after="120" w:before="80" w:line="320"/>
        <w:jc w:val="both"/>
      </w:pPr>
      <w:r>
        <w:rPr>
          <w:rFonts w:ascii="Georgia" w:cs="Georgia" w:eastAsia="Georgia" w:hAnsi="Georgia"/>
          <w:color w:val="1A1A1A"/>
          <w:sz w:val="22"/>
          <w:szCs w:val="22"/>
        </w:rPr>
        <w:t xml:space="preserve">Prompts, agents, integrations, and tools are governed centrally and auditably. But developers work freely within that approved ecosystem. The governance layer provides certainty; the execution layer provides freedom. Innovation happens inside guardrails, not despite them.</w:t>
      </w:r>
    </w:p>
    <w:p>
      <w:pPr>
        <w:pStyle w:val="Heading2"/>
        <w:pBdr>
          <w:bottom w:val="single" w:color="0D6E6E" w:sz="4" w:space="4"/>
        </w:pBdr>
        <w:spacing w:after="120" w:before="320"/>
      </w:pPr>
      <w:r>
        <w:rPr>
          <w:rFonts w:ascii="Calibri" w:cs="Calibri" w:eastAsia="Calibri" w:hAnsi="Calibri"/>
          <w:b/>
          <w:bCs/>
          <w:color w:val="0D6E6E"/>
          <w:sz w:val="28"/>
          <w:szCs w:val="28"/>
        </w:rPr>
        <w:t xml:space="preserve">Principle 5: Cost Is a System Design Constraint</w:t>
      </w:r>
    </w:p>
    <w:p>
      <w:pPr>
        <w:spacing w:after="120" w:before="80" w:line="320"/>
        <w:jc w:val="both"/>
      </w:pPr>
      <w:r>
        <w:rPr>
          <w:rFonts w:ascii="Georgia" w:cs="Georgia" w:eastAsia="Georgia" w:hAnsi="Georgia"/>
          <w:color w:val="1A1A1A"/>
          <w:sz w:val="22"/>
          <w:szCs w:val="22"/>
        </w:rPr>
        <w:t xml:space="preserve">AI token spend scales non-linearly with agentic usage. A framework that ignores cost is a framework that will be abandoned when the first quarterly bill arrives. Budget allocation, per-project caps, and usage tagging are first-class citizens in this framework, not post-implementation additions.</w:t>
      </w:r>
    </w:p>
    <w:p>
      <w:pPr>
        <w:pStyle w:val="Heading2"/>
        <w:pBdr>
          <w:bottom w:val="single" w:color="0D6E6E" w:sz="4" w:space="4"/>
        </w:pBdr>
        <w:spacing w:after="120" w:before="320"/>
      </w:pPr>
      <w:r>
        <w:rPr>
          <w:rFonts w:ascii="Calibri" w:cs="Calibri" w:eastAsia="Calibri" w:hAnsi="Calibri"/>
          <w:b/>
          <w:bCs/>
          <w:color w:val="0D6E6E"/>
          <w:sz w:val="28"/>
          <w:szCs w:val="28"/>
        </w:rPr>
        <w:t xml:space="preserve">Principle 6: Adoption Over Perfection</w:t>
      </w:r>
    </w:p>
    <w:p>
      <w:pPr>
        <w:spacing w:after="120" w:before="80" w:line="320"/>
        <w:jc w:val="both"/>
      </w:pPr>
      <w:r>
        <w:rPr>
          <w:rFonts w:ascii="Georgia" w:cs="Georgia" w:eastAsia="Georgia" w:hAnsi="Georgia"/>
          <w:color w:val="1A1A1A"/>
          <w:sz w:val="22"/>
          <w:szCs w:val="22"/>
        </w:rPr>
        <w:t xml:space="preserve">A governance framework that nobody follows provides precisely zero protection. Every element of this framework is designed to make compliant behaviour the path of least resistance. Where friction is unavoidable — for Tier 4 and Tier 5 agent access, for example — it is deliberate and proportional to the risk. Where friction is avoidable, it has been eliminated.</w:t>
      </w:r>
    </w:p>
    <w:p>
      <w:pPr>
        <w:spacing w:after="0" w:before="0"/>
      </w:pPr>
      <w:r>
        <w:br w:type="page"/>
      </w:r>
    </w:p>
    <w:p>
      <w:pPr>
        <w:spacing w:after="0" w:before="240"/>
      </w:pPr>
    </w:p>
    <w:p>
      <w:pPr>
        <w:spacing w:after="60" w:before="0"/>
      </w:pPr>
      <w:r>
        <w:rPr>
          <w:rFonts w:ascii="Calibri" w:cs="Calibri" w:eastAsia="Calibri" w:hAnsi="Calibri"/>
          <w:b/>
          <w:bCs/>
          <w:color w:val="0D6E6E"/>
          <w:sz w:val="13"/>
          <w:szCs w:val="13"/>
        </w:rPr>
        <w:t xml:space="preserve">3  </w:t>
      </w:r>
      <w:r>
        <w:rPr>
          <w:rFonts w:ascii="Calibri" w:cs="Calibri" w:eastAsia="Calibri" w:hAnsi="Calibri"/>
          <w:b/>
          <w:bCs/>
          <w:color w:val="4A4A4A"/>
          <w:sz w:val="13"/>
          <w:szCs w:val="13"/>
        </w:rPr>
        <w:t xml:space="preserve">THE ENTERPRISE THREAT MODEL</w:t>
      </w:r>
    </w:p>
    <w:p>
      <w:pPr>
        <w:pStyle w:val="Heading1"/>
        <w:pBdr>
          <w:bottom w:val="single" w:color="0D6E6E" w:sz="6"/>
        </w:pBdr>
        <w:shd w:fill="1B2A4A" w:val="clear"/>
        <w:spacing w:after="200" w:before="0"/>
        <w:ind w:left="240" w:right="240"/>
      </w:pPr>
      <w:r>
        <w:rPr>
          <w:rFonts w:ascii="Calibri" w:cs="Calibri" w:eastAsia="Calibri" w:hAnsi="Calibri"/>
          <w:b/>
          <w:bCs/>
          <w:color w:val="FFFFFF"/>
          <w:sz w:val="36"/>
          <w:szCs w:val="36"/>
        </w:rPr>
        <w:t xml:space="preserve">The Enterprise Threat Model</w:t>
      </w:r>
    </w:p>
    <w:p>
      <w:pPr>
        <w:spacing w:after="120" w:before="80" w:line="320"/>
        <w:jc w:val="both"/>
      </w:pPr>
      <w:r>
        <w:rPr>
          <w:rFonts w:ascii="Georgia" w:cs="Georgia" w:eastAsia="Georgia" w:hAnsi="Georgia"/>
          <w:color w:val="1A1A1A"/>
          <w:sz w:val="22"/>
          <w:szCs w:val="22"/>
        </w:rPr>
        <w:t xml:space="preserve">Effective governance begins with an honest assessment of what can go wrong. The following table describes the primary threat vectors introduced by agentic AI development, their compliance impact, and the framework controls that address them.</w:t>
      </w:r>
    </w:p>
    <w:p>
      <w:pPr>
        <w:spacing w:after="0" w:before="120"/>
      </w:pP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200"/>
        <w:gridCol w:w="3406"/>
        <w:gridCol w:w="1800"/>
        <w:gridCol w:w="2100"/>
      </w:tblGrid>
      <w:tr>
        <w:trPr>
          <w:tblHeader/>
        </w:trPr>
        <w:tc>
          <w:tcPr>
            <w:tcW w:type="dxa" w:w="2200"/>
            <w:gridSpan w:val="1"/>
            <w:tcBorders>
              <w:top w:val="single" w:color="CCCCCC" w:sz="4"/>
              <w:left w:val="single" w:color="CCCCCC" w:sz="4"/>
              <w:bottom w:val="single" w:color="CCCCCC" w:sz="4"/>
              <w:right w:val="single" w:color="CCCCCC" w:sz="4"/>
            </w:tcBorders>
            <w:shd w:fill="1B2A4A" w:val="clear"/>
            <w:tcMar>
              <w:top w:type="dxa" w:w="80"/>
              <w:left w:type="dxa" w:w="140"/>
              <w:bottom w:type="dxa" w:w="80"/>
              <w:right w:type="dxa" w:w="140"/>
            </w:tcMar>
            <w:vAlign w:val="center"/>
          </w:tcPr>
          <w:p>
            <w:pPr>
              <w:spacing w:after="0" w:before="0"/>
            </w:pPr>
            <w:r>
              <w:rPr>
                <w:rFonts w:ascii="Calibri" w:cs="Calibri" w:eastAsia="Calibri" w:hAnsi="Calibri"/>
                <w:b/>
                <w:bCs/>
                <w:color w:val="FFFFFF"/>
                <w:sz w:val="20"/>
                <w:szCs w:val="20"/>
              </w:rPr>
              <w:t xml:space="preserve">Threat</w:t>
            </w:r>
          </w:p>
        </w:tc>
        <w:tc>
          <w:tcPr>
            <w:tcW w:type="dxa" w:w="3406"/>
            <w:gridSpan w:val="1"/>
            <w:tcBorders>
              <w:top w:val="single" w:color="CCCCCC" w:sz="4"/>
              <w:left w:val="single" w:color="CCCCCC" w:sz="4"/>
              <w:bottom w:val="single" w:color="CCCCCC" w:sz="4"/>
              <w:right w:val="single" w:color="CCCCCC" w:sz="4"/>
            </w:tcBorders>
            <w:shd w:fill="1B2A4A" w:val="clear"/>
            <w:tcMar>
              <w:top w:type="dxa" w:w="80"/>
              <w:left w:type="dxa" w:w="140"/>
              <w:bottom w:type="dxa" w:w="80"/>
              <w:right w:type="dxa" w:w="140"/>
            </w:tcMar>
            <w:vAlign w:val="center"/>
          </w:tcPr>
          <w:p>
            <w:pPr>
              <w:spacing w:after="0" w:before="0"/>
            </w:pPr>
            <w:r>
              <w:rPr>
                <w:rFonts w:ascii="Calibri" w:cs="Calibri" w:eastAsia="Calibri" w:hAnsi="Calibri"/>
                <w:b/>
                <w:bCs/>
                <w:color w:val="FFFFFF"/>
                <w:sz w:val="20"/>
                <w:szCs w:val="20"/>
              </w:rPr>
              <w:t xml:space="preserve">Description</w:t>
            </w:r>
          </w:p>
        </w:tc>
        <w:tc>
          <w:tcPr>
            <w:tcW w:type="dxa" w:w="1800"/>
            <w:gridSpan w:val="1"/>
            <w:tcBorders>
              <w:top w:val="single" w:color="CCCCCC" w:sz="4"/>
              <w:left w:val="single" w:color="CCCCCC" w:sz="4"/>
              <w:bottom w:val="single" w:color="CCCCCC" w:sz="4"/>
              <w:right w:val="single" w:color="CCCCCC" w:sz="4"/>
            </w:tcBorders>
            <w:shd w:fill="1B2A4A" w:val="clear"/>
            <w:tcMar>
              <w:top w:type="dxa" w:w="80"/>
              <w:left w:type="dxa" w:w="140"/>
              <w:bottom w:type="dxa" w:w="80"/>
              <w:right w:type="dxa" w:w="140"/>
            </w:tcMar>
            <w:vAlign w:val="center"/>
          </w:tcPr>
          <w:p>
            <w:pPr>
              <w:spacing w:after="0" w:before="0"/>
            </w:pPr>
            <w:r>
              <w:rPr>
                <w:rFonts w:ascii="Calibri" w:cs="Calibri" w:eastAsia="Calibri" w:hAnsi="Calibri"/>
                <w:b/>
                <w:bCs/>
                <w:color w:val="FFFFFF"/>
                <w:sz w:val="20"/>
                <w:szCs w:val="20"/>
              </w:rPr>
              <w:t xml:space="preserve">Severity</w:t>
            </w:r>
          </w:p>
        </w:tc>
        <w:tc>
          <w:tcPr>
            <w:tcW w:type="dxa" w:w="2100"/>
            <w:gridSpan w:val="1"/>
            <w:tcBorders>
              <w:top w:val="single" w:color="CCCCCC" w:sz="4"/>
              <w:left w:val="single" w:color="CCCCCC" w:sz="4"/>
              <w:bottom w:val="single" w:color="CCCCCC" w:sz="4"/>
              <w:right w:val="single" w:color="CCCCCC" w:sz="4"/>
            </w:tcBorders>
            <w:shd w:fill="1B2A4A" w:val="clear"/>
            <w:tcMar>
              <w:top w:type="dxa" w:w="80"/>
              <w:left w:type="dxa" w:w="140"/>
              <w:bottom w:type="dxa" w:w="80"/>
              <w:right w:type="dxa" w:w="140"/>
            </w:tcMar>
            <w:vAlign w:val="center"/>
          </w:tcPr>
          <w:p>
            <w:pPr>
              <w:spacing w:after="0" w:before="0"/>
            </w:pPr>
            <w:r>
              <w:rPr>
                <w:rFonts w:ascii="Calibri" w:cs="Calibri" w:eastAsia="Calibri" w:hAnsi="Calibri"/>
                <w:b/>
                <w:bCs/>
                <w:color w:val="FFFFFF"/>
                <w:sz w:val="20"/>
                <w:szCs w:val="20"/>
              </w:rPr>
              <w:t xml:space="preserve">Compliance Impact</w:t>
            </w:r>
          </w:p>
        </w:tc>
      </w:tr>
      <w:tr>
        <w:tc>
          <w:tcPr>
            <w:tcW w:type="dxa" w:w="220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after="0" w:before="0"/>
            </w:pPr>
            <w:r>
              <w:rPr>
                <w:rFonts w:ascii="Calibri" w:cs="Calibri" w:eastAsia="Calibri" w:hAnsi="Calibri"/>
                <w:b/>
                <w:bCs/>
                <w:color w:val="1A1A1A"/>
                <w:sz w:val="20"/>
                <w:szCs w:val="20"/>
              </w:rPr>
              <w:t xml:space="preserve">AI-Introduced Vulnerabilities</w:t>
            </w:r>
          </w:p>
        </w:tc>
        <w:tc>
          <w:tcPr>
            <w:tcW w:type="dxa" w:w="3406"/>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after="0" w:before="0"/>
            </w:pPr>
            <w:r>
              <w:rPr>
                <w:rFonts w:ascii="Calibri" w:cs="Calibri" w:eastAsia="Calibri" w:hAnsi="Calibri"/>
                <w:b w:val="false"/>
                <w:bCs w:val="false"/>
                <w:color w:val="1A1A1A"/>
                <w:sz w:val="20"/>
                <w:szCs w:val="20"/>
              </w:rPr>
              <w:t xml:space="preserve">LLMs produce insecure code in ~45% of unconstrained cases. Developers spend less time reviewing AI output, creating an illusion of correctness.</w:t>
            </w:r>
          </w:p>
        </w:tc>
        <w:tc>
          <w:tcPr>
            <w:tcW w:type="dxa" w:w="180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after="0" w:before="0"/>
            </w:pPr>
            <w:r>
              <w:rPr>
                <w:rFonts w:ascii="Calibri" w:cs="Calibri" w:eastAsia="Calibri" w:hAnsi="Calibri"/>
                <w:b w:val="false"/>
                <w:bCs w:val="false"/>
                <w:color w:val="1A1A1A"/>
                <w:sz w:val="20"/>
                <w:szCs w:val="20"/>
              </w:rPr>
              <w:t xml:space="preserve">Critical</w:t>
            </w:r>
          </w:p>
        </w:tc>
        <w:tc>
          <w:tcPr>
            <w:tcW w:type="dxa" w:w="210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after="0" w:before="0"/>
            </w:pPr>
            <w:r>
              <w:rPr>
                <w:rFonts w:ascii="Calibri" w:cs="Calibri" w:eastAsia="Calibri" w:hAnsi="Calibri"/>
                <w:b w:val="false"/>
                <w:bCs w:val="false"/>
                <w:color w:val="1A1A1A"/>
                <w:sz w:val="20"/>
                <w:szCs w:val="20"/>
              </w:rPr>
              <w:t xml:space="preserve">ISO 27001 A.8, SOC 2 CC6</w:t>
            </w:r>
          </w:p>
        </w:tc>
      </w:tr>
      <w:tr>
        <w:tc>
          <w:tcPr>
            <w:tcW w:type="dxa" w:w="2200"/>
            <w:gridSpan w:val="1"/>
            <w:tcBorders>
              <w:top w:val="single" w:color="CCCCCC" w:sz="4"/>
              <w:left w:val="single" w:color="CCCCCC" w:sz="4"/>
              <w:bottom w:val="single" w:color="CCCCCC" w:sz="4"/>
              <w:right w:val="single" w:color="CCCCCC" w:sz="4"/>
            </w:tcBorders>
            <w:shd w:fill="F4F6F8" w:val="clear"/>
            <w:tcMar>
              <w:top w:type="dxa" w:w="80"/>
              <w:left w:type="dxa" w:w="140"/>
              <w:bottom w:type="dxa" w:w="80"/>
              <w:right w:type="dxa" w:w="140"/>
            </w:tcMar>
            <w:vAlign w:val="center"/>
          </w:tcPr>
          <w:p>
            <w:pPr>
              <w:spacing w:after="0" w:before="0"/>
            </w:pPr>
            <w:r>
              <w:rPr>
                <w:rFonts w:ascii="Calibri" w:cs="Calibri" w:eastAsia="Calibri" w:hAnsi="Calibri"/>
                <w:b/>
                <w:bCs/>
                <w:color w:val="1A1A1A"/>
                <w:sz w:val="20"/>
                <w:szCs w:val="20"/>
              </w:rPr>
              <w:t xml:space="preserve">PII / Secret Leakage via Prompt</w:t>
            </w:r>
          </w:p>
        </w:tc>
        <w:tc>
          <w:tcPr>
            <w:tcW w:type="dxa" w:w="3406"/>
            <w:gridSpan w:val="1"/>
            <w:tcBorders>
              <w:top w:val="single" w:color="CCCCCC" w:sz="4"/>
              <w:left w:val="single" w:color="CCCCCC" w:sz="4"/>
              <w:bottom w:val="single" w:color="CCCCCC" w:sz="4"/>
              <w:right w:val="single" w:color="CCCCCC" w:sz="4"/>
            </w:tcBorders>
            <w:shd w:fill="F4F6F8" w:val="clear"/>
            <w:tcMar>
              <w:top w:type="dxa" w:w="80"/>
              <w:left w:type="dxa" w:w="140"/>
              <w:bottom w:type="dxa" w:w="80"/>
              <w:right w:type="dxa" w:w="140"/>
            </w:tcMar>
            <w:vAlign w:val="center"/>
          </w:tcPr>
          <w:p>
            <w:pPr>
              <w:spacing w:after="0" w:before="0"/>
            </w:pPr>
            <w:r>
              <w:rPr>
                <w:rFonts w:ascii="Calibri" w:cs="Calibri" w:eastAsia="Calibri" w:hAnsi="Calibri"/>
                <w:b w:val="false"/>
                <w:bCs w:val="false"/>
                <w:color w:val="1A1A1A"/>
                <w:sz w:val="20"/>
                <w:szCs w:val="20"/>
              </w:rPr>
              <w:t xml:space="preserve">Developers inadvertently include client data, credentials, or schema details in prompts that transmit outside the organisational boundary.</w:t>
            </w:r>
          </w:p>
        </w:tc>
        <w:tc>
          <w:tcPr>
            <w:tcW w:type="dxa" w:w="1800"/>
            <w:gridSpan w:val="1"/>
            <w:tcBorders>
              <w:top w:val="single" w:color="CCCCCC" w:sz="4"/>
              <w:left w:val="single" w:color="CCCCCC" w:sz="4"/>
              <w:bottom w:val="single" w:color="CCCCCC" w:sz="4"/>
              <w:right w:val="single" w:color="CCCCCC" w:sz="4"/>
            </w:tcBorders>
            <w:shd w:fill="F4F6F8" w:val="clear"/>
            <w:tcMar>
              <w:top w:type="dxa" w:w="80"/>
              <w:left w:type="dxa" w:w="140"/>
              <w:bottom w:type="dxa" w:w="80"/>
              <w:right w:type="dxa" w:w="140"/>
            </w:tcMar>
            <w:vAlign w:val="center"/>
          </w:tcPr>
          <w:p>
            <w:pPr>
              <w:spacing w:after="0" w:before="0"/>
            </w:pPr>
            <w:r>
              <w:rPr>
                <w:rFonts w:ascii="Calibri" w:cs="Calibri" w:eastAsia="Calibri" w:hAnsi="Calibri"/>
                <w:b w:val="false"/>
                <w:bCs w:val="false"/>
                <w:color w:val="1A1A1A"/>
                <w:sz w:val="20"/>
                <w:szCs w:val="20"/>
              </w:rPr>
              <w:t xml:space="preserve">Critical</w:t>
            </w:r>
          </w:p>
        </w:tc>
        <w:tc>
          <w:tcPr>
            <w:tcW w:type="dxa" w:w="2100"/>
            <w:gridSpan w:val="1"/>
            <w:tcBorders>
              <w:top w:val="single" w:color="CCCCCC" w:sz="4"/>
              <w:left w:val="single" w:color="CCCCCC" w:sz="4"/>
              <w:bottom w:val="single" w:color="CCCCCC" w:sz="4"/>
              <w:right w:val="single" w:color="CCCCCC" w:sz="4"/>
            </w:tcBorders>
            <w:shd w:fill="F4F6F8" w:val="clear"/>
            <w:tcMar>
              <w:top w:type="dxa" w:w="80"/>
              <w:left w:type="dxa" w:w="140"/>
              <w:bottom w:type="dxa" w:w="80"/>
              <w:right w:type="dxa" w:w="140"/>
            </w:tcMar>
            <w:vAlign w:val="center"/>
          </w:tcPr>
          <w:p>
            <w:pPr>
              <w:spacing w:after="0" w:before="0"/>
            </w:pPr>
            <w:r>
              <w:rPr>
                <w:rFonts w:ascii="Calibri" w:cs="Calibri" w:eastAsia="Calibri" w:hAnsi="Calibri"/>
                <w:b w:val="false"/>
                <w:bCs w:val="false"/>
                <w:color w:val="1A1A1A"/>
                <w:sz w:val="20"/>
                <w:szCs w:val="20"/>
              </w:rPr>
              <w:t xml:space="preserve">ISO 27018, GDPR Art. 32</w:t>
            </w:r>
          </w:p>
        </w:tc>
      </w:tr>
      <w:tr>
        <w:tc>
          <w:tcPr>
            <w:tcW w:type="dxa" w:w="220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after="0" w:before="0"/>
            </w:pPr>
            <w:r>
              <w:rPr>
                <w:rFonts w:ascii="Calibri" w:cs="Calibri" w:eastAsia="Calibri" w:hAnsi="Calibri"/>
                <w:b/>
                <w:bCs/>
                <w:color w:val="1A1A1A"/>
                <w:sz w:val="20"/>
                <w:szCs w:val="20"/>
              </w:rPr>
              <w:t xml:space="preserve">Prompt Injection</w:t>
            </w:r>
          </w:p>
        </w:tc>
        <w:tc>
          <w:tcPr>
            <w:tcW w:type="dxa" w:w="3406"/>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after="0" w:before="0"/>
            </w:pPr>
            <w:r>
              <w:rPr>
                <w:rFonts w:ascii="Calibri" w:cs="Calibri" w:eastAsia="Calibri" w:hAnsi="Calibri"/>
                <w:b w:val="false"/>
                <w:bCs w:val="false"/>
                <w:color w:val="1A1A1A"/>
                <w:sz w:val="20"/>
                <w:szCs w:val="20"/>
              </w:rPr>
              <w:t xml:space="preserve">Malicious content in codebases, documents, or third-party APIs manipulates AI agents into executing unintended actions.</w:t>
            </w:r>
          </w:p>
        </w:tc>
        <w:tc>
          <w:tcPr>
            <w:tcW w:type="dxa" w:w="180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after="0" w:before="0"/>
            </w:pPr>
            <w:r>
              <w:rPr>
                <w:rFonts w:ascii="Calibri" w:cs="Calibri" w:eastAsia="Calibri" w:hAnsi="Calibri"/>
                <w:b w:val="false"/>
                <w:bCs w:val="false"/>
                <w:color w:val="1A1A1A"/>
                <w:sz w:val="20"/>
                <w:szCs w:val="20"/>
              </w:rPr>
              <w:t xml:space="preserve">High</w:t>
            </w:r>
          </w:p>
        </w:tc>
        <w:tc>
          <w:tcPr>
            <w:tcW w:type="dxa" w:w="210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after="0" w:before="0"/>
            </w:pPr>
            <w:r>
              <w:rPr>
                <w:rFonts w:ascii="Calibri" w:cs="Calibri" w:eastAsia="Calibri" w:hAnsi="Calibri"/>
                <w:b w:val="false"/>
                <w:bCs w:val="false"/>
                <w:color w:val="1A1A1A"/>
                <w:sz w:val="20"/>
                <w:szCs w:val="20"/>
              </w:rPr>
              <w:t xml:space="preserve">ISO 27001 A.12, NIST RMF</w:t>
            </w:r>
          </w:p>
        </w:tc>
      </w:tr>
      <w:tr>
        <w:tc>
          <w:tcPr>
            <w:tcW w:type="dxa" w:w="2200"/>
            <w:gridSpan w:val="1"/>
            <w:tcBorders>
              <w:top w:val="single" w:color="CCCCCC" w:sz="4"/>
              <w:left w:val="single" w:color="CCCCCC" w:sz="4"/>
              <w:bottom w:val="single" w:color="CCCCCC" w:sz="4"/>
              <w:right w:val="single" w:color="CCCCCC" w:sz="4"/>
            </w:tcBorders>
            <w:shd w:fill="F4F6F8" w:val="clear"/>
            <w:tcMar>
              <w:top w:type="dxa" w:w="80"/>
              <w:left w:type="dxa" w:w="140"/>
              <w:bottom w:type="dxa" w:w="80"/>
              <w:right w:type="dxa" w:w="140"/>
            </w:tcMar>
            <w:vAlign w:val="center"/>
          </w:tcPr>
          <w:p>
            <w:pPr>
              <w:spacing w:after="0" w:before="0"/>
            </w:pPr>
            <w:r>
              <w:rPr>
                <w:rFonts w:ascii="Calibri" w:cs="Calibri" w:eastAsia="Calibri" w:hAnsi="Calibri"/>
                <w:b/>
                <w:bCs/>
                <w:color w:val="1A1A1A"/>
                <w:sz w:val="20"/>
                <w:szCs w:val="20"/>
              </w:rPr>
              <w:t xml:space="preserve">Accountability Diffusion</w:t>
            </w:r>
          </w:p>
        </w:tc>
        <w:tc>
          <w:tcPr>
            <w:tcW w:type="dxa" w:w="3406"/>
            <w:gridSpan w:val="1"/>
            <w:tcBorders>
              <w:top w:val="single" w:color="CCCCCC" w:sz="4"/>
              <w:left w:val="single" w:color="CCCCCC" w:sz="4"/>
              <w:bottom w:val="single" w:color="CCCCCC" w:sz="4"/>
              <w:right w:val="single" w:color="CCCCCC" w:sz="4"/>
            </w:tcBorders>
            <w:shd w:fill="F4F6F8" w:val="clear"/>
            <w:tcMar>
              <w:top w:type="dxa" w:w="80"/>
              <w:left w:type="dxa" w:w="140"/>
              <w:bottom w:type="dxa" w:w="80"/>
              <w:right w:type="dxa" w:w="140"/>
            </w:tcMar>
            <w:vAlign w:val="center"/>
          </w:tcPr>
          <w:p>
            <w:pPr>
              <w:spacing w:after="0" w:before="0"/>
            </w:pPr>
            <w:r>
              <w:rPr>
                <w:rFonts w:ascii="Calibri" w:cs="Calibri" w:eastAsia="Calibri" w:hAnsi="Calibri"/>
                <w:b w:val="false"/>
                <w:bCs w:val="false"/>
                <w:color w:val="1A1A1A"/>
                <w:sz w:val="20"/>
                <w:szCs w:val="20"/>
              </w:rPr>
              <w:t xml:space="preserve">No clear human author for AI-generated code. Reviewers assume the AI checked for security. Neither party fully owns the output.</w:t>
            </w:r>
          </w:p>
        </w:tc>
        <w:tc>
          <w:tcPr>
            <w:tcW w:type="dxa" w:w="1800"/>
            <w:gridSpan w:val="1"/>
            <w:tcBorders>
              <w:top w:val="single" w:color="CCCCCC" w:sz="4"/>
              <w:left w:val="single" w:color="CCCCCC" w:sz="4"/>
              <w:bottom w:val="single" w:color="CCCCCC" w:sz="4"/>
              <w:right w:val="single" w:color="CCCCCC" w:sz="4"/>
            </w:tcBorders>
            <w:shd w:fill="F4F6F8" w:val="clear"/>
            <w:tcMar>
              <w:top w:type="dxa" w:w="80"/>
              <w:left w:type="dxa" w:w="140"/>
              <w:bottom w:type="dxa" w:w="80"/>
              <w:right w:type="dxa" w:w="140"/>
            </w:tcMar>
            <w:vAlign w:val="center"/>
          </w:tcPr>
          <w:p>
            <w:pPr>
              <w:spacing w:after="0" w:before="0"/>
            </w:pPr>
            <w:r>
              <w:rPr>
                <w:rFonts w:ascii="Calibri" w:cs="Calibri" w:eastAsia="Calibri" w:hAnsi="Calibri"/>
                <w:b w:val="false"/>
                <w:bCs w:val="false"/>
                <w:color w:val="1A1A1A"/>
                <w:sz w:val="20"/>
                <w:szCs w:val="20"/>
              </w:rPr>
              <w:t xml:space="preserve">High</w:t>
            </w:r>
          </w:p>
        </w:tc>
        <w:tc>
          <w:tcPr>
            <w:tcW w:type="dxa" w:w="2100"/>
            <w:gridSpan w:val="1"/>
            <w:tcBorders>
              <w:top w:val="single" w:color="CCCCCC" w:sz="4"/>
              <w:left w:val="single" w:color="CCCCCC" w:sz="4"/>
              <w:bottom w:val="single" w:color="CCCCCC" w:sz="4"/>
              <w:right w:val="single" w:color="CCCCCC" w:sz="4"/>
            </w:tcBorders>
            <w:shd w:fill="F4F6F8" w:val="clear"/>
            <w:tcMar>
              <w:top w:type="dxa" w:w="80"/>
              <w:left w:type="dxa" w:w="140"/>
              <w:bottom w:type="dxa" w:w="80"/>
              <w:right w:type="dxa" w:w="140"/>
            </w:tcMar>
            <w:vAlign w:val="center"/>
          </w:tcPr>
          <w:p>
            <w:pPr>
              <w:spacing w:after="0" w:before="0"/>
            </w:pPr>
            <w:r>
              <w:rPr>
                <w:rFonts w:ascii="Calibri" w:cs="Calibri" w:eastAsia="Calibri" w:hAnsi="Calibri"/>
                <w:b w:val="false"/>
                <w:bCs w:val="false"/>
                <w:color w:val="1A1A1A"/>
                <w:sz w:val="20"/>
                <w:szCs w:val="20"/>
              </w:rPr>
              <w:t xml:space="preserve">SOC 2 CC1, ISO 27001 A.7</w:t>
            </w:r>
          </w:p>
        </w:tc>
      </w:tr>
      <w:tr>
        <w:tc>
          <w:tcPr>
            <w:tcW w:type="dxa" w:w="220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after="0" w:before="0"/>
            </w:pPr>
            <w:r>
              <w:rPr>
                <w:rFonts w:ascii="Calibri" w:cs="Calibri" w:eastAsia="Calibri" w:hAnsi="Calibri"/>
                <w:b/>
                <w:bCs/>
                <w:color w:val="1A1A1A"/>
                <w:sz w:val="20"/>
                <w:szCs w:val="20"/>
              </w:rPr>
              <w:t xml:space="preserve">Shadow AI Usage</w:t>
            </w:r>
          </w:p>
        </w:tc>
        <w:tc>
          <w:tcPr>
            <w:tcW w:type="dxa" w:w="3406"/>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after="0" w:before="0"/>
            </w:pPr>
            <w:r>
              <w:rPr>
                <w:rFonts w:ascii="Calibri" w:cs="Calibri" w:eastAsia="Calibri" w:hAnsi="Calibri"/>
                <w:b w:val="false"/>
                <w:bCs w:val="false"/>
                <w:color w:val="1A1A1A"/>
                <w:sz w:val="20"/>
                <w:szCs w:val="20"/>
              </w:rPr>
              <w:t xml:space="preserve">Developers use unapproved tools that exfiltrate code or context to unknown third-party providers outside any DPA.</w:t>
            </w:r>
          </w:p>
        </w:tc>
        <w:tc>
          <w:tcPr>
            <w:tcW w:type="dxa" w:w="180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after="0" w:before="0"/>
            </w:pPr>
            <w:r>
              <w:rPr>
                <w:rFonts w:ascii="Calibri" w:cs="Calibri" w:eastAsia="Calibri" w:hAnsi="Calibri"/>
                <w:b w:val="false"/>
                <w:bCs w:val="false"/>
                <w:color w:val="1A1A1A"/>
                <w:sz w:val="20"/>
                <w:szCs w:val="20"/>
              </w:rPr>
              <w:t xml:space="preserve">High</w:t>
            </w:r>
          </w:p>
        </w:tc>
        <w:tc>
          <w:tcPr>
            <w:tcW w:type="dxa" w:w="210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after="0" w:before="0"/>
            </w:pPr>
            <w:r>
              <w:rPr>
                <w:rFonts w:ascii="Calibri" w:cs="Calibri" w:eastAsia="Calibri" w:hAnsi="Calibri"/>
                <w:b w:val="false"/>
                <w:bCs w:val="false"/>
                <w:color w:val="1A1A1A"/>
                <w:sz w:val="20"/>
                <w:szCs w:val="20"/>
              </w:rPr>
              <w:t xml:space="preserve">ISO 27017, GDPR Art. 28</w:t>
            </w:r>
          </w:p>
        </w:tc>
      </w:tr>
      <w:tr>
        <w:tc>
          <w:tcPr>
            <w:tcW w:type="dxa" w:w="2200"/>
            <w:gridSpan w:val="1"/>
            <w:tcBorders>
              <w:top w:val="single" w:color="CCCCCC" w:sz="4"/>
              <w:left w:val="single" w:color="CCCCCC" w:sz="4"/>
              <w:bottom w:val="single" w:color="CCCCCC" w:sz="4"/>
              <w:right w:val="single" w:color="CCCCCC" w:sz="4"/>
            </w:tcBorders>
            <w:shd w:fill="F4F6F8" w:val="clear"/>
            <w:tcMar>
              <w:top w:type="dxa" w:w="80"/>
              <w:left w:type="dxa" w:w="140"/>
              <w:bottom w:type="dxa" w:w="80"/>
              <w:right w:type="dxa" w:w="140"/>
            </w:tcMar>
            <w:vAlign w:val="center"/>
          </w:tcPr>
          <w:p>
            <w:pPr>
              <w:spacing w:after="0" w:before="0"/>
            </w:pPr>
            <w:r>
              <w:rPr>
                <w:rFonts w:ascii="Calibri" w:cs="Calibri" w:eastAsia="Calibri" w:hAnsi="Calibri"/>
                <w:b/>
                <w:bCs/>
                <w:color w:val="1A1A1A"/>
                <w:sz w:val="20"/>
                <w:szCs w:val="20"/>
              </w:rPr>
              <w:t xml:space="preserve">Agent Overprivilege</w:t>
            </w:r>
          </w:p>
        </w:tc>
        <w:tc>
          <w:tcPr>
            <w:tcW w:type="dxa" w:w="3406"/>
            <w:gridSpan w:val="1"/>
            <w:tcBorders>
              <w:top w:val="single" w:color="CCCCCC" w:sz="4"/>
              <w:left w:val="single" w:color="CCCCCC" w:sz="4"/>
              <w:bottom w:val="single" w:color="CCCCCC" w:sz="4"/>
              <w:right w:val="single" w:color="CCCCCC" w:sz="4"/>
            </w:tcBorders>
            <w:shd w:fill="F4F6F8" w:val="clear"/>
            <w:tcMar>
              <w:top w:type="dxa" w:w="80"/>
              <w:left w:type="dxa" w:w="140"/>
              <w:bottom w:type="dxa" w:w="80"/>
              <w:right w:type="dxa" w:w="140"/>
            </w:tcMar>
            <w:vAlign w:val="center"/>
          </w:tcPr>
          <w:p>
            <w:pPr>
              <w:spacing w:after="0" w:before="0"/>
            </w:pPr>
            <w:r>
              <w:rPr>
                <w:rFonts w:ascii="Calibri" w:cs="Calibri" w:eastAsia="Calibri" w:hAnsi="Calibri"/>
                <w:b w:val="false"/>
                <w:bCs w:val="false"/>
                <w:color w:val="1A1A1A"/>
                <w:sz w:val="20"/>
                <w:szCs w:val="20"/>
              </w:rPr>
              <w:t xml:space="preserve">Coding agents granted broad permissions cause disproportionate damage on compromise — access to all repos, all credentials, all environments.</w:t>
            </w:r>
          </w:p>
        </w:tc>
        <w:tc>
          <w:tcPr>
            <w:tcW w:type="dxa" w:w="1800"/>
            <w:gridSpan w:val="1"/>
            <w:tcBorders>
              <w:top w:val="single" w:color="CCCCCC" w:sz="4"/>
              <w:left w:val="single" w:color="CCCCCC" w:sz="4"/>
              <w:bottom w:val="single" w:color="CCCCCC" w:sz="4"/>
              <w:right w:val="single" w:color="CCCCCC" w:sz="4"/>
            </w:tcBorders>
            <w:shd w:fill="F4F6F8" w:val="clear"/>
            <w:tcMar>
              <w:top w:type="dxa" w:w="80"/>
              <w:left w:type="dxa" w:w="140"/>
              <w:bottom w:type="dxa" w:w="80"/>
              <w:right w:type="dxa" w:w="140"/>
            </w:tcMar>
            <w:vAlign w:val="center"/>
          </w:tcPr>
          <w:p>
            <w:pPr>
              <w:spacing w:after="0" w:before="0"/>
            </w:pPr>
            <w:r>
              <w:rPr>
                <w:rFonts w:ascii="Calibri" w:cs="Calibri" w:eastAsia="Calibri" w:hAnsi="Calibri"/>
                <w:b w:val="false"/>
                <w:bCs w:val="false"/>
                <w:color w:val="1A1A1A"/>
                <w:sz w:val="20"/>
                <w:szCs w:val="20"/>
              </w:rPr>
              <w:t xml:space="preserve">High</w:t>
            </w:r>
          </w:p>
        </w:tc>
        <w:tc>
          <w:tcPr>
            <w:tcW w:type="dxa" w:w="2100"/>
            <w:gridSpan w:val="1"/>
            <w:tcBorders>
              <w:top w:val="single" w:color="CCCCCC" w:sz="4"/>
              <w:left w:val="single" w:color="CCCCCC" w:sz="4"/>
              <w:bottom w:val="single" w:color="CCCCCC" w:sz="4"/>
              <w:right w:val="single" w:color="CCCCCC" w:sz="4"/>
            </w:tcBorders>
            <w:shd w:fill="F4F6F8" w:val="clear"/>
            <w:tcMar>
              <w:top w:type="dxa" w:w="80"/>
              <w:left w:type="dxa" w:w="140"/>
              <w:bottom w:type="dxa" w:w="80"/>
              <w:right w:type="dxa" w:w="140"/>
            </w:tcMar>
            <w:vAlign w:val="center"/>
          </w:tcPr>
          <w:p>
            <w:pPr>
              <w:spacing w:after="0" w:before="0"/>
            </w:pPr>
            <w:r>
              <w:rPr>
                <w:rFonts w:ascii="Calibri" w:cs="Calibri" w:eastAsia="Calibri" w:hAnsi="Calibri"/>
                <w:b w:val="false"/>
                <w:bCs w:val="false"/>
                <w:color w:val="1A1A1A"/>
                <w:sz w:val="20"/>
                <w:szCs w:val="20"/>
              </w:rPr>
              <w:t xml:space="preserve">ISO 27001 A.9, SOC 2 CC6</w:t>
            </w:r>
          </w:p>
        </w:tc>
      </w:tr>
      <w:tr>
        <w:tc>
          <w:tcPr>
            <w:tcW w:type="dxa" w:w="220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after="0" w:before="0"/>
            </w:pPr>
            <w:r>
              <w:rPr>
                <w:rFonts w:ascii="Calibri" w:cs="Calibri" w:eastAsia="Calibri" w:hAnsi="Calibri"/>
                <w:b/>
                <w:bCs/>
                <w:color w:val="1A1A1A"/>
                <w:sz w:val="20"/>
                <w:szCs w:val="20"/>
              </w:rPr>
              <w:t xml:space="preserve">Compliance Drift</w:t>
            </w:r>
          </w:p>
        </w:tc>
        <w:tc>
          <w:tcPr>
            <w:tcW w:type="dxa" w:w="3406"/>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after="0" w:before="0"/>
            </w:pPr>
            <w:r>
              <w:rPr>
                <w:rFonts w:ascii="Calibri" w:cs="Calibri" w:eastAsia="Calibri" w:hAnsi="Calibri"/>
                <w:b w:val="false"/>
                <w:bCs w:val="false"/>
                <w:color w:val="1A1A1A"/>
                <w:sz w:val="20"/>
                <w:szCs w:val="20"/>
              </w:rPr>
              <w:t xml:space="preserve">AI writes code without awareness of project-specific regulatory requirements, silently accumulating technical debt.</w:t>
            </w:r>
          </w:p>
        </w:tc>
        <w:tc>
          <w:tcPr>
            <w:tcW w:type="dxa" w:w="180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after="0" w:before="0"/>
            </w:pPr>
            <w:r>
              <w:rPr>
                <w:rFonts w:ascii="Calibri" w:cs="Calibri" w:eastAsia="Calibri" w:hAnsi="Calibri"/>
                <w:b w:val="false"/>
                <w:bCs w:val="false"/>
                <w:color w:val="1A1A1A"/>
                <w:sz w:val="20"/>
                <w:szCs w:val="20"/>
              </w:rPr>
              <w:t xml:space="preserve">Medium</w:t>
            </w:r>
          </w:p>
        </w:tc>
        <w:tc>
          <w:tcPr>
            <w:tcW w:type="dxa" w:w="210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after="0" w:before="0"/>
            </w:pPr>
            <w:r>
              <w:rPr>
                <w:rFonts w:ascii="Calibri" w:cs="Calibri" w:eastAsia="Calibri" w:hAnsi="Calibri"/>
                <w:b w:val="false"/>
                <w:bCs w:val="false"/>
                <w:color w:val="1A1A1A"/>
                <w:sz w:val="20"/>
                <w:szCs w:val="20"/>
              </w:rPr>
              <w:t xml:space="preserve">GDPR Art. 25, ISO 27018</w:t>
            </w:r>
          </w:p>
        </w:tc>
      </w:tr>
      <w:tr>
        <w:tc>
          <w:tcPr>
            <w:tcW w:type="dxa" w:w="2200"/>
            <w:gridSpan w:val="1"/>
            <w:tcBorders>
              <w:top w:val="single" w:color="CCCCCC" w:sz="4"/>
              <w:left w:val="single" w:color="CCCCCC" w:sz="4"/>
              <w:bottom w:val="single" w:color="CCCCCC" w:sz="4"/>
              <w:right w:val="single" w:color="CCCCCC" w:sz="4"/>
            </w:tcBorders>
            <w:shd w:fill="F4F6F8" w:val="clear"/>
            <w:tcMar>
              <w:top w:type="dxa" w:w="80"/>
              <w:left w:type="dxa" w:w="140"/>
              <w:bottom w:type="dxa" w:w="80"/>
              <w:right w:type="dxa" w:w="140"/>
            </w:tcMar>
            <w:vAlign w:val="center"/>
          </w:tcPr>
          <w:p>
            <w:pPr>
              <w:spacing w:after="0" w:before="0"/>
            </w:pPr>
            <w:r>
              <w:rPr>
                <w:rFonts w:ascii="Calibri" w:cs="Calibri" w:eastAsia="Calibri" w:hAnsi="Calibri"/>
                <w:b/>
                <w:bCs/>
                <w:color w:val="1A1A1A"/>
                <w:sz w:val="20"/>
                <w:szCs w:val="20"/>
              </w:rPr>
              <w:t xml:space="preserve">Audit Trail Gaps</w:t>
            </w:r>
          </w:p>
        </w:tc>
        <w:tc>
          <w:tcPr>
            <w:tcW w:type="dxa" w:w="3406"/>
            <w:gridSpan w:val="1"/>
            <w:tcBorders>
              <w:top w:val="single" w:color="CCCCCC" w:sz="4"/>
              <w:left w:val="single" w:color="CCCCCC" w:sz="4"/>
              <w:bottom w:val="single" w:color="CCCCCC" w:sz="4"/>
              <w:right w:val="single" w:color="CCCCCC" w:sz="4"/>
            </w:tcBorders>
            <w:shd w:fill="F4F6F8" w:val="clear"/>
            <w:tcMar>
              <w:top w:type="dxa" w:w="80"/>
              <w:left w:type="dxa" w:w="140"/>
              <w:bottom w:type="dxa" w:w="80"/>
              <w:right w:type="dxa" w:w="140"/>
            </w:tcMar>
            <w:vAlign w:val="center"/>
          </w:tcPr>
          <w:p>
            <w:pPr>
              <w:spacing w:after="0" w:before="0"/>
            </w:pPr>
            <w:r>
              <w:rPr>
                <w:rFonts w:ascii="Calibri" w:cs="Calibri" w:eastAsia="Calibri" w:hAnsi="Calibri"/>
                <w:b w:val="false"/>
                <w:bCs w:val="false"/>
                <w:color w:val="1A1A1A"/>
                <w:sz w:val="20"/>
                <w:szCs w:val="20"/>
              </w:rPr>
              <w:t xml:space="preserve">No record of what was prompted, generated, reviewed, or deployed, making post-incident investigation impossible.</w:t>
            </w:r>
          </w:p>
        </w:tc>
        <w:tc>
          <w:tcPr>
            <w:tcW w:type="dxa" w:w="1800"/>
            <w:gridSpan w:val="1"/>
            <w:tcBorders>
              <w:top w:val="single" w:color="CCCCCC" w:sz="4"/>
              <w:left w:val="single" w:color="CCCCCC" w:sz="4"/>
              <w:bottom w:val="single" w:color="CCCCCC" w:sz="4"/>
              <w:right w:val="single" w:color="CCCCCC" w:sz="4"/>
            </w:tcBorders>
            <w:shd w:fill="F4F6F8" w:val="clear"/>
            <w:tcMar>
              <w:top w:type="dxa" w:w="80"/>
              <w:left w:type="dxa" w:w="140"/>
              <w:bottom w:type="dxa" w:w="80"/>
              <w:right w:type="dxa" w:w="140"/>
            </w:tcMar>
            <w:vAlign w:val="center"/>
          </w:tcPr>
          <w:p>
            <w:pPr>
              <w:spacing w:after="0" w:before="0"/>
            </w:pPr>
            <w:r>
              <w:rPr>
                <w:rFonts w:ascii="Calibri" w:cs="Calibri" w:eastAsia="Calibri" w:hAnsi="Calibri"/>
                <w:b w:val="false"/>
                <w:bCs w:val="false"/>
                <w:color w:val="1A1A1A"/>
                <w:sz w:val="20"/>
                <w:szCs w:val="20"/>
              </w:rPr>
              <w:t xml:space="preserve">Medium</w:t>
            </w:r>
          </w:p>
        </w:tc>
        <w:tc>
          <w:tcPr>
            <w:tcW w:type="dxa" w:w="2100"/>
            <w:gridSpan w:val="1"/>
            <w:tcBorders>
              <w:top w:val="single" w:color="CCCCCC" w:sz="4"/>
              <w:left w:val="single" w:color="CCCCCC" w:sz="4"/>
              <w:bottom w:val="single" w:color="CCCCCC" w:sz="4"/>
              <w:right w:val="single" w:color="CCCCCC" w:sz="4"/>
            </w:tcBorders>
            <w:shd w:fill="F4F6F8" w:val="clear"/>
            <w:tcMar>
              <w:top w:type="dxa" w:w="80"/>
              <w:left w:type="dxa" w:w="140"/>
              <w:bottom w:type="dxa" w:w="80"/>
              <w:right w:type="dxa" w:w="140"/>
            </w:tcMar>
            <w:vAlign w:val="center"/>
          </w:tcPr>
          <w:p>
            <w:pPr>
              <w:spacing w:after="0" w:before="0"/>
            </w:pPr>
            <w:r>
              <w:rPr>
                <w:rFonts w:ascii="Calibri" w:cs="Calibri" w:eastAsia="Calibri" w:hAnsi="Calibri"/>
                <w:b w:val="false"/>
                <w:bCs w:val="false"/>
                <w:color w:val="1A1A1A"/>
                <w:sz w:val="20"/>
                <w:szCs w:val="20"/>
              </w:rPr>
              <w:t xml:space="preserve">SOC 2 CC7, ISO 27001 A.12</w:t>
            </w:r>
          </w:p>
        </w:tc>
      </w:tr>
    </w:tbl>
    <w:p>
      <w:pPr>
        <w:spacing w:after="0" w:before="0"/>
      </w:pPr>
      <w:r>
        <w:br w:type="page"/>
      </w:r>
    </w:p>
    <w:p>
      <w:pPr>
        <w:spacing w:after="0" w:before="240"/>
      </w:pPr>
    </w:p>
    <w:p>
      <w:pPr>
        <w:spacing w:after="60" w:before="0"/>
      </w:pPr>
      <w:r>
        <w:rPr>
          <w:rFonts w:ascii="Calibri" w:cs="Calibri" w:eastAsia="Calibri" w:hAnsi="Calibri"/>
          <w:b/>
          <w:bCs/>
          <w:color w:val="0D6E6E"/>
          <w:sz w:val="13"/>
          <w:szCs w:val="13"/>
        </w:rPr>
        <w:t xml:space="preserve">4  </w:t>
      </w:r>
      <w:r>
        <w:rPr>
          <w:rFonts w:ascii="Calibri" w:cs="Calibri" w:eastAsia="Calibri" w:hAnsi="Calibri"/>
          <w:b/>
          <w:bCs/>
          <w:color w:val="4A4A4A"/>
          <w:sz w:val="13"/>
          <w:szCs w:val="13"/>
        </w:rPr>
        <w:t xml:space="preserve">THE FIVE-TIER ACCESS MODEL</w:t>
      </w:r>
    </w:p>
    <w:p>
      <w:pPr>
        <w:pStyle w:val="Heading1"/>
        <w:pBdr>
          <w:bottom w:val="single" w:color="0D6E6E" w:sz="6"/>
        </w:pBdr>
        <w:shd w:fill="1B2A4A" w:val="clear"/>
        <w:spacing w:after="200" w:before="0"/>
        <w:ind w:left="240" w:right="240"/>
      </w:pPr>
      <w:r>
        <w:rPr>
          <w:rFonts w:ascii="Calibri" w:cs="Calibri" w:eastAsia="Calibri" w:hAnsi="Calibri"/>
          <w:b/>
          <w:bCs/>
          <w:color w:val="FFFFFF"/>
          <w:sz w:val="36"/>
          <w:szCs w:val="36"/>
        </w:rPr>
        <w:t xml:space="preserve">The Five-Tier Access Model</w:t>
      </w:r>
    </w:p>
    <w:p>
      <w:pPr>
        <w:spacing w:after="120" w:before="80" w:line="320"/>
        <w:jc w:val="both"/>
      </w:pPr>
      <w:r>
        <w:rPr>
          <w:rFonts w:ascii="Georgia" w:cs="Georgia" w:eastAsia="Georgia" w:hAnsi="Georgia"/>
          <w:color w:val="1A1A1A"/>
          <w:sz w:val="22"/>
          <w:szCs w:val="22"/>
        </w:rPr>
        <w:t xml:space="preserve">Rather than a binary permitted or prohibited designation, the framework classifies every AI tool, agent, and workflow into one of five tiers. Access is role-gated and project-gated. The model is designed so that Tier 1 through 3 access is frictionless for any developer, while Tier 4 and 5 require deliberate escalation proportional to the risk introduced.</w:t>
      </w:r>
    </w:p>
    <w:p>
      <w:pPr>
        <w:spacing w:after="0" w:before="80"/>
      </w:pPr>
    </w:p>
    <w:p>
      <w:pPr>
        <w:pStyle w:val="Heading2"/>
        <w:pBdr>
          <w:bottom w:val="single" w:color="0D6E6E" w:sz="4" w:space="4"/>
        </w:pBdr>
        <w:spacing w:after="120" w:before="320"/>
      </w:pPr>
      <w:r>
        <w:rPr>
          <w:rFonts w:ascii="Calibri" w:cs="Calibri" w:eastAsia="Calibri" w:hAnsi="Calibri"/>
          <w:b/>
          <w:bCs/>
          <w:color w:val="0D6E6E"/>
          <w:sz w:val="28"/>
          <w:szCs w:val="28"/>
        </w:rPr>
        <w:t xml:space="preserve">Tier Definitions</w:t>
      </w:r>
    </w:p>
    <w:p>
      <w:pPr>
        <w:spacing w:after="0" w:before="60"/>
      </w:pP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00"/>
        <w:gridCol w:w="2200"/>
        <w:gridCol w:w="3406"/>
        <w:gridCol w:w="3000"/>
      </w:tblGrid>
      <w:tr>
        <w:trPr>
          <w:tblHeader/>
        </w:trPr>
        <w:tc>
          <w:tcPr>
            <w:tcW w:type="dxa" w:w="900"/>
            <w:gridSpan w:val="1"/>
            <w:tcBorders>
              <w:top w:val="single" w:color="CCCCCC" w:sz="4"/>
              <w:left w:val="single" w:color="CCCCCC" w:sz="4"/>
              <w:bottom w:val="single" w:color="CCCCCC" w:sz="4"/>
              <w:right w:val="single" w:color="CCCCCC" w:sz="4"/>
            </w:tcBorders>
            <w:shd w:fill="1B2A4A" w:val="clear"/>
            <w:tcMar>
              <w:top w:type="dxa" w:w="80"/>
              <w:left w:type="dxa" w:w="140"/>
              <w:bottom w:type="dxa" w:w="80"/>
              <w:right w:type="dxa" w:w="140"/>
            </w:tcMar>
            <w:vAlign w:val="center"/>
          </w:tcPr>
          <w:p>
            <w:pPr>
              <w:spacing w:after="0" w:before="0"/>
            </w:pPr>
            <w:r>
              <w:rPr>
                <w:rFonts w:ascii="Calibri" w:cs="Calibri" w:eastAsia="Calibri" w:hAnsi="Calibri"/>
                <w:b/>
                <w:bCs/>
                <w:color w:val="FFFFFF"/>
                <w:sz w:val="20"/>
                <w:szCs w:val="20"/>
              </w:rPr>
              <w:t xml:space="preserve">Tier</w:t>
            </w:r>
          </w:p>
        </w:tc>
        <w:tc>
          <w:tcPr>
            <w:tcW w:type="dxa" w:w="2200"/>
            <w:gridSpan w:val="1"/>
            <w:tcBorders>
              <w:top w:val="single" w:color="CCCCCC" w:sz="4"/>
              <w:left w:val="single" w:color="CCCCCC" w:sz="4"/>
              <w:bottom w:val="single" w:color="CCCCCC" w:sz="4"/>
              <w:right w:val="single" w:color="CCCCCC" w:sz="4"/>
            </w:tcBorders>
            <w:shd w:fill="1B2A4A" w:val="clear"/>
            <w:tcMar>
              <w:top w:type="dxa" w:w="80"/>
              <w:left w:type="dxa" w:w="140"/>
              <w:bottom w:type="dxa" w:w="80"/>
              <w:right w:type="dxa" w:w="140"/>
            </w:tcMar>
            <w:vAlign w:val="center"/>
          </w:tcPr>
          <w:p>
            <w:pPr>
              <w:spacing w:after="0" w:before="0"/>
            </w:pPr>
            <w:r>
              <w:rPr>
                <w:rFonts w:ascii="Calibri" w:cs="Calibri" w:eastAsia="Calibri" w:hAnsi="Calibri"/>
                <w:b/>
                <w:bCs/>
                <w:color w:val="FFFFFF"/>
                <w:sz w:val="20"/>
                <w:szCs w:val="20"/>
              </w:rPr>
              <w:t xml:space="preserve">Category</w:t>
            </w:r>
          </w:p>
        </w:tc>
        <w:tc>
          <w:tcPr>
            <w:tcW w:type="dxa" w:w="3406"/>
            <w:gridSpan w:val="1"/>
            <w:tcBorders>
              <w:top w:val="single" w:color="CCCCCC" w:sz="4"/>
              <w:left w:val="single" w:color="CCCCCC" w:sz="4"/>
              <w:bottom w:val="single" w:color="CCCCCC" w:sz="4"/>
              <w:right w:val="single" w:color="CCCCCC" w:sz="4"/>
            </w:tcBorders>
            <w:shd w:fill="1B2A4A" w:val="clear"/>
            <w:tcMar>
              <w:top w:type="dxa" w:w="80"/>
              <w:left w:type="dxa" w:w="140"/>
              <w:bottom w:type="dxa" w:w="80"/>
              <w:right w:type="dxa" w:w="140"/>
            </w:tcMar>
            <w:vAlign w:val="center"/>
          </w:tcPr>
          <w:p>
            <w:pPr>
              <w:spacing w:after="0" w:before="0"/>
            </w:pPr>
            <w:r>
              <w:rPr>
                <w:rFonts w:ascii="Calibri" w:cs="Calibri" w:eastAsia="Calibri" w:hAnsi="Calibri"/>
                <w:b/>
                <w:bCs/>
                <w:color w:val="FFFFFF"/>
                <w:sz w:val="20"/>
                <w:szCs w:val="20"/>
              </w:rPr>
              <w:t xml:space="preserve">Scope</w:t>
            </w:r>
          </w:p>
        </w:tc>
        <w:tc>
          <w:tcPr>
            <w:tcW w:type="dxa" w:w="3000"/>
            <w:gridSpan w:val="1"/>
            <w:tcBorders>
              <w:top w:val="single" w:color="CCCCCC" w:sz="4"/>
              <w:left w:val="single" w:color="CCCCCC" w:sz="4"/>
              <w:bottom w:val="single" w:color="CCCCCC" w:sz="4"/>
              <w:right w:val="single" w:color="CCCCCC" w:sz="4"/>
            </w:tcBorders>
            <w:shd w:fill="1B2A4A" w:val="clear"/>
            <w:tcMar>
              <w:top w:type="dxa" w:w="80"/>
              <w:left w:type="dxa" w:w="140"/>
              <w:bottom w:type="dxa" w:w="80"/>
              <w:right w:type="dxa" w:w="140"/>
            </w:tcMar>
            <w:vAlign w:val="center"/>
          </w:tcPr>
          <w:p>
            <w:pPr>
              <w:spacing w:after="0" w:before="0"/>
            </w:pPr>
            <w:r>
              <w:rPr>
                <w:rFonts w:ascii="Calibri" w:cs="Calibri" w:eastAsia="Calibri" w:hAnsi="Calibri"/>
                <w:b/>
                <w:bCs/>
                <w:color w:val="FFFFFF"/>
                <w:sz w:val="20"/>
                <w:szCs w:val="20"/>
              </w:rPr>
              <w:t xml:space="preserve">Access Requirement</w:t>
            </w:r>
          </w:p>
        </w:tc>
      </w:tr>
      <w:tr>
        <w:tc>
          <w:tcPr>
            <w:tcW w:type="dxa" w:w="90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after="0" w:before="0"/>
            </w:pPr>
            <w:r>
              <w:rPr>
                <w:rFonts w:ascii="Calibri" w:cs="Calibri" w:eastAsia="Calibri" w:hAnsi="Calibri"/>
                <w:b w:val="false"/>
                <w:bCs w:val="false"/>
                <w:color w:val="1A1A1A"/>
                <w:sz w:val="20"/>
                <w:szCs w:val="20"/>
              </w:rPr>
              <w:t xml:space="preserve">1</w:t>
            </w:r>
          </w:p>
        </w:tc>
        <w:tc>
          <w:tcPr>
            <w:tcW w:type="dxa" w:w="220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after="0" w:before="0"/>
            </w:pPr>
            <w:r>
              <w:rPr>
                <w:rFonts w:ascii="Calibri" w:cs="Calibri" w:eastAsia="Calibri" w:hAnsi="Calibri"/>
                <w:b w:val="false"/>
                <w:bCs w:val="false"/>
                <w:color w:val="1A1A1A"/>
                <w:sz w:val="20"/>
                <w:szCs w:val="20"/>
              </w:rPr>
              <w:t xml:space="preserve">Productivity Tools</w:t>
            </w:r>
          </w:p>
        </w:tc>
        <w:tc>
          <w:tcPr>
            <w:tcW w:type="dxa" w:w="3406"/>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after="0" w:before="0"/>
            </w:pPr>
            <w:r>
              <w:rPr>
                <w:rFonts w:ascii="Calibri" w:cs="Calibri" w:eastAsia="Calibri" w:hAnsi="Calibri"/>
                <w:b w:val="false"/>
                <w:bCs w:val="false"/>
                <w:color w:val="1A1A1A"/>
                <w:sz w:val="20"/>
                <w:szCs w:val="20"/>
              </w:rPr>
              <w:t xml:space="preserve">Chat assistants, summarisation, drafting, meeting notes</w:t>
            </w:r>
          </w:p>
        </w:tc>
        <w:tc>
          <w:tcPr>
            <w:tcW w:type="dxa" w:w="300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after="0" w:before="0"/>
            </w:pPr>
            <w:r>
              <w:rPr>
                <w:rFonts w:ascii="Calibri" w:cs="Calibri" w:eastAsia="Calibri" w:hAnsi="Calibri"/>
                <w:b w:val="false"/>
                <w:bCs w:val="false"/>
                <w:color w:val="1A1A1A"/>
                <w:sz w:val="20"/>
                <w:szCs w:val="20"/>
              </w:rPr>
              <w:t xml:space="preserve">Default. All staff. AI Security Baseline training.</w:t>
            </w:r>
          </w:p>
        </w:tc>
      </w:tr>
      <w:tr>
        <w:tc>
          <w:tcPr>
            <w:tcW w:type="dxa" w:w="900"/>
            <w:gridSpan w:val="1"/>
            <w:tcBorders>
              <w:top w:val="single" w:color="CCCCCC" w:sz="4"/>
              <w:left w:val="single" w:color="CCCCCC" w:sz="4"/>
              <w:bottom w:val="single" w:color="CCCCCC" w:sz="4"/>
              <w:right w:val="single" w:color="CCCCCC" w:sz="4"/>
            </w:tcBorders>
            <w:shd w:fill="F4F6F8" w:val="clear"/>
            <w:tcMar>
              <w:top w:type="dxa" w:w="80"/>
              <w:left w:type="dxa" w:w="140"/>
              <w:bottom w:type="dxa" w:w="80"/>
              <w:right w:type="dxa" w:w="140"/>
            </w:tcMar>
            <w:vAlign w:val="center"/>
          </w:tcPr>
          <w:p>
            <w:pPr>
              <w:spacing w:after="0" w:before="0"/>
            </w:pPr>
            <w:r>
              <w:rPr>
                <w:rFonts w:ascii="Calibri" w:cs="Calibri" w:eastAsia="Calibri" w:hAnsi="Calibri"/>
                <w:b w:val="false"/>
                <w:bCs w:val="false"/>
                <w:color w:val="1A1A1A"/>
                <w:sz w:val="20"/>
                <w:szCs w:val="20"/>
              </w:rPr>
              <w:t xml:space="preserve">2</w:t>
            </w:r>
          </w:p>
        </w:tc>
        <w:tc>
          <w:tcPr>
            <w:tcW w:type="dxa" w:w="2200"/>
            <w:gridSpan w:val="1"/>
            <w:tcBorders>
              <w:top w:val="single" w:color="CCCCCC" w:sz="4"/>
              <w:left w:val="single" w:color="CCCCCC" w:sz="4"/>
              <w:bottom w:val="single" w:color="CCCCCC" w:sz="4"/>
              <w:right w:val="single" w:color="CCCCCC" w:sz="4"/>
            </w:tcBorders>
            <w:shd w:fill="F4F6F8" w:val="clear"/>
            <w:tcMar>
              <w:top w:type="dxa" w:w="80"/>
              <w:left w:type="dxa" w:w="140"/>
              <w:bottom w:type="dxa" w:w="80"/>
              <w:right w:type="dxa" w:w="140"/>
            </w:tcMar>
            <w:vAlign w:val="center"/>
          </w:tcPr>
          <w:p>
            <w:pPr>
              <w:spacing w:after="0" w:before="0"/>
            </w:pPr>
            <w:r>
              <w:rPr>
                <w:rFonts w:ascii="Calibri" w:cs="Calibri" w:eastAsia="Calibri" w:hAnsi="Calibri"/>
                <w:b w:val="false"/>
                <w:bCs w:val="false"/>
                <w:color w:val="1A1A1A"/>
                <w:sz w:val="20"/>
                <w:szCs w:val="20"/>
              </w:rPr>
              <w:t xml:space="preserve">Sandboxed Research</w:t>
            </w:r>
          </w:p>
        </w:tc>
        <w:tc>
          <w:tcPr>
            <w:tcW w:type="dxa" w:w="3406"/>
            <w:gridSpan w:val="1"/>
            <w:tcBorders>
              <w:top w:val="single" w:color="CCCCCC" w:sz="4"/>
              <w:left w:val="single" w:color="CCCCCC" w:sz="4"/>
              <w:bottom w:val="single" w:color="CCCCCC" w:sz="4"/>
              <w:right w:val="single" w:color="CCCCCC" w:sz="4"/>
            </w:tcBorders>
            <w:shd w:fill="F4F6F8" w:val="clear"/>
            <w:tcMar>
              <w:top w:type="dxa" w:w="80"/>
              <w:left w:type="dxa" w:w="140"/>
              <w:bottom w:type="dxa" w:w="80"/>
              <w:right w:type="dxa" w:w="140"/>
            </w:tcMar>
            <w:vAlign w:val="center"/>
          </w:tcPr>
          <w:p>
            <w:pPr>
              <w:spacing w:after="0" w:before="0"/>
            </w:pPr>
            <w:r>
              <w:rPr>
                <w:rFonts w:ascii="Calibri" w:cs="Calibri" w:eastAsia="Calibri" w:hAnsi="Calibri"/>
                <w:b w:val="false"/>
                <w:bCs w:val="false"/>
                <w:color w:val="1A1A1A"/>
                <w:sz w:val="20"/>
                <w:szCs w:val="20"/>
              </w:rPr>
              <w:t xml:space="preserve">Exploratory AI use with synthetic or anonymised data in isolated environments</w:t>
            </w:r>
          </w:p>
        </w:tc>
        <w:tc>
          <w:tcPr>
            <w:tcW w:type="dxa" w:w="3000"/>
            <w:gridSpan w:val="1"/>
            <w:tcBorders>
              <w:top w:val="single" w:color="CCCCCC" w:sz="4"/>
              <w:left w:val="single" w:color="CCCCCC" w:sz="4"/>
              <w:bottom w:val="single" w:color="CCCCCC" w:sz="4"/>
              <w:right w:val="single" w:color="CCCCCC" w:sz="4"/>
            </w:tcBorders>
            <w:shd w:fill="F4F6F8" w:val="clear"/>
            <w:tcMar>
              <w:top w:type="dxa" w:w="80"/>
              <w:left w:type="dxa" w:w="140"/>
              <w:bottom w:type="dxa" w:w="80"/>
              <w:right w:type="dxa" w:w="140"/>
            </w:tcMar>
            <w:vAlign w:val="center"/>
          </w:tcPr>
          <w:p>
            <w:pPr>
              <w:spacing w:after="0" w:before="0"/>
            </w:pPr>
            <w:r>
              <w:rPr>
                <w:rFonts w:ascii="Calibri" w:cs="Calibri" w:eastAsia="Calibri" w:hAnsi="Calibri"/>
                <w:b w:val="false"/>
                <w:bCs w:val="false"/>
                <w:color w:val="1A1A1A"/>
                <w:sz w:val="20"/>
                <w:szCs w:val="20"/>
              </w:rPr>
              <w:t xml:space="preserve">Default for developers. Company-provisioned sandboxes only.</w:t>
            </w:r>
          </w:p>
        </w:tc>
      </w:tr>
      <w:tr>
        <w:tc>
          <w:tcPr>
            <w:tcW w:type="dxa" w:w="90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after="0" w:before="0"/>
            </w:pPr>
            <w:r>
              <w:rPr>
                <w:rFonts w:ascii="Calibri" w:cs="Calibri" w:eastAsia="Calibri" w:hAnsi="Calibri"/>
                <w:b w:val="false"/>
                <w:bCs w:val="false"/>
                <w:color w:val="1A1A1A"/>
                <w:sz w:val="20"/>
                <w:szCs w:val="20"/>
              </w:rPr>
              <w:t xml:space="preserve">3</w:t>
            </w:r>
          </w:p>
        </w:tc>
        <w:tc>
          <w:tcPr>
            <w:tcW w:type="dxa" w:w="220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after="0" w:before="0"/>
            </w:pPr>
            <w:r>
              <w:rPr>
                <w:rFonts w:ascii="Calibri" w:cs="Calibri" w:eastAsia="Calibri" w:hAnsi="Calibri"/>
                <w:b w:val="false"/>
                <w:bCs w:val="false"/>
                <w:color w:val="1A1A1A"/>
                <w:sz w:val="20"/>
                <w:szCs w:val="20"/>
              </w:rPr>
              <w:t xml:space="preserve">AI-Assisted Development</w:t>
            </w:r>
          </w:p>
        </w:tc>
        <w:tc>
          <w:tcPr>
            <w:tcW w:type="dxa" w:w="3406"/>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after="0" w:before="0"/>
            </w:pPr>
            <w:r>
              <w:rPr>
                <w:rFonts w:ascii="Calibri" w:cs="Calibri" w:eastAsia="Calibri" w:hAnsi="Calibri"/>
                <w:b w:val="false"/>
                <w:bCs w:val="false"/>
                <w:color w:val="1A1A1A"/>
                <w:sz w:val="20"/>
                <w:szCs w:val="20"/>
              </w:rPr>
              <w:t xml:space="preserve">IDE code completion, test generation, documentation, PR assistance</w:t>
            </w:r>
          </w:p>
        </w:tc>
        <w:tc>
          <w:tcPr>
            <w:tcW w:type="dxa" w:w="300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after="0" w:before="0"/>
            </w:pPr>
            <w:r>
              <w:rPr>
                <w:rFonts w:ascii="Calibri" w:cs="Calibri" w:eastAsia="Calibri" w:hAnsi="Calibri"/>
                <w:b w:val="false"/>
                <w:bCs w:val="false"/>
                <w:color w:val="1A1A1A"/>
                <w:sz w:val="20"/>
                <w:szCs w:val="20"/>
              </w:rPr>
              <w:t xml:space="preserve">Default for developers on joining. Approved tool registry.</w:t>
            </w:r>
          </w:p>
        </w:tc>
      </w:tr>
      <w:tr>
        <w:tc>
          <w:tcPr>
            <w:tcW w:type="dxa" w:w="900"/>
            <w:gridSpan w:val="1"/>
            <w:tcBorders>
              <w:top w:val="single" w:color="CCCCCC" w:sz="4"/>
              <w:left w:val="single" w:color="CCCCCC" w:sz="4"/>
              <w:bottom w:val="single" w:color="CCCCCC" w:sz="4"/>
              <w:right w:val="single" w:color="CCCCCC" w:sz="4"/>
            </w:tcBorders>
            <w:shd w:fill="F4F6F8" w:val="clear"/>
            <w:tcMar>
              <w:top w:type="dxa" w:w="80"/>
              <w:left w:type="dxa" w:w="140"/>
              <w:bottom w:type="dxa" w:w="80"/>
              <w:right w:type="dxa" w:w="140"/>
            </w:tcMar>
            <w:vAlign w:val="center"/>
          </w:tcPr>
          <w:p>
            <w:pPr>
              <w:spacing w:after="0" w:before="0"/>
            </w:pPr>
            <w:r>
              <w:rPr>
                <w:rFonts w:ascii="Calibri" w:cs="Calibri" w:eastAsia="Calibri" w:hAnsi="Calibri"/>
                <w:b w:val="false"/>
                <w:bCs w:val="false"/>
                <w:color w:val="1A1A1A"/>
                <w:sz w:val="20"/>
                <w:szCs w:val="20"/>
              </w:rPr>
              <w:t xml:space="preserve">4</w:t>
            </w:r>
          </w:p>
        </w:tc>
        <w:tc>
          <w:tcPr>
            <w:tcW w:type="dxa" w:w="2200"/>
            <w:gridSpan w:val="1"/>
            <w:tcBorders>
              <w:top w:val="single" w:color="CCCCCC" w:sz="4"/>
              <w:left w:val="single" w:color="CCCCCC" w:sz="4"/>
              <w:bottom w:val="single" w:color="CCCCCC" w:sz="4"/>
              <w:right w:val="single" w:color="CCCCCC" w:sz="4"/>
            </w:tcBorders>
            <w:shd w:fill="F4F6F8" w:val="clear"/>
            <w:tcMar>
              <w:top w:type="dxa" w:w="80"/>
              <w:left w:type="dxa" w:w="140"/>
              <w:bottom w:type="dxa" w:w="80"/>
              <w:right w:type="dxa" w:w="140"/>
            </w:tcMar>
            <w:vAlign w:val="center"/>
          </w:tcPr>
          <w:p>
            <w:pPr>
              <w:spacing w:after="0" w:before="0"/>
            </w:pPr>
            <w:r>
              <w:rPr>
                <w:rFonts w:ascii="Calibri" w:cs="Calibri" w:eastAsia="Calibri" w:hAnsi="Calibri"/>
                <w:b w:val="false"/>
                <w:bCs w:val="false"/>
                <w:color w:val="1A1A1A"/>
                <w:sz w:val="20"/>
                <w:szCs w:val="20"/>
              </w:rPr>
              <w:t xml:space="preserve">Semi-Autonomous Agents</w:t>
            </w:r>
          </w:p>
        </w:tc>
        <w:tc>
          <w:tcPr>
            <w:tcW w:type="dxa" w:w="3406"/>
            <w:gridSpan w:val="1"/>
            <w:tcBorders>
              <w:top w:val="single" w:color="CCCCCC" w:sz="4"/>
              <w:left w:val="single" w:color="CCCCCC" w:sz="4"/>
              <w:bottom w:val="single" w:color="CCCCCC" w:sz="4"/>
              <w:right w:val="single" w:color="CCCCCC" w:sz="4"/>
            </w:tcBorders>
            <w:shd w:fill="F4F6F8" w:val="clear"/>
            <w:tcMar>
              <w:top w:type="dxa" w:w="80"/>
              <w:left w:type="dxa" w:w="140"/>
              <w:bottom w:type="dxa" w:w="80"/>
              <w:right w:type="dxa" w:w="140"/>
            </w:tcMar>
            <w:vAlign w:val="center"/>
          </w:tcPr>
          <w:p>
            <w:pPr>
              <w:spacing w:after="0" w:before="0"/>
            </w:pPr>
            <w:r>
              <w:rPr>
                <w:rFonts w:ascii="Calibri" w:cs="Calibri" w:eastAsia="Calibri" w:hAnsi="Calibri"/>
                <w:b w:val="false"/>
                <w:bCs w:val="false"/>
                <w:color w:val="1A1A1A"/>
                <w:sz w:val="20"/>
                <w:szCs w:val="20"/>
              </w:rPr>
              <w:t xml:space="preserve">Agents with repository and staging access, capable of writing and submitting full PRs</w:t>
            </w:r>
          </w:p>
        </w:tc>
        <w:tc>
          <w:tcPr>
            <w:tcW w:type="dxa" w:w="3000"/>
            <w:gridSpan w:val="1"/>
            <w:tcBorders>
              <w:top w:val="single" w:color="CCCCCC" w:sz="4"/>
              <w:left w:val="single" w:color="CCCCCC" w:sz="4"/>
              <w:bottom w:val="single" w:color="CCCCCC" w:sz="4"/>
              <w:right w:val="single" w:color="CCCCCC" w:sz="4"/>
            </w:tcBorders>
            <w:shd w:fill="F4F6F8" w:val="clear"/>
            <w:tcMar>
              <w:top w:type="dxa" w:w="80"/>
              <w:left w:type="dxa" w:w="140"/>
              <w:bottom w:type="dxa" w:w="80"/>
              <w:right w:type="dxa" w:w="140"/>
            </w:tcMar>
            <w:vAlign w:val="center"/>
          </w:tcPr>
          <w:p>
            <w:pPr>
              <w:spacing w:after="0" w:before="0"/>
            </w:pPr>
            <w:r>
              <w:rPr>
                <w:rFonts w:ascii="Calibri" w:cs="Calibri" w:eastAsia="Calibri" w:hAnsi="Calibri"/>
                <w:b w:val="false"/>
                <w:bCs w:val="false"/>
                <w:color w:val="1A1A1A"/>
                <w:sz w:val="20"/>
                <w:szCs w:val="20"/>
              </w:rPr>
              <w:t xml:space="preserve">Tech Lead written approval. Mandatory human PR review. Audit logging.</w:t>
            </w:r>
          </w:p>
        </w:tc>
      </w:tr>
      <w:tr>
        <w:tc>
          <w:tcPr>
            <w:tcW w:type="dxa" w:w="90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after="0" w:before="0"/>
            </w:pPr>
            <w:r>
              <w:rPr>
                <w:rFonts w:ascii="Calibri" w:cs="Calibri" w:eastAsia="Calibri" w:hAnsi="Calibri"/>
                <w:b w:val="false"/>
                <w:bCs w:val="false"/>
                <w:color w:val="1A1A1A"/>
                <w:sz w:val="20"/>
                <w:szCs w:val="20"/>
              </w:rPr>
              <w:t xml:space="preserve">5</w:t>
            </w:r>
          </w:p>
        </w:tc>
        <w:tc>
          <w:tcPr>
            <w:tcW w:type="dxa" w:w="220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after="0" w:before="0"/>
            </w:pPr>
            <w:r>
              <w:rPr>
                <w:rFonts w:ascii="Calibri" w:cs="Calibri" w:eastAsia="Calibri" w:hAnsi="Calibri"/>
                <w:b w:val="false"/>
                <w:bCs w:val="false"/>
                <w:color w:val="1A1A1A"/>
                <w:sz w:val="20"/>
                <w:szCs w:val="20"/>
              </w:rPr>
              <w:t xml:space="preserve">Autonomous Production Agents</w:t>
            </w:r>
          </w:p>
        </w:tc>
        <w:tc>
          <w:tcPr>
            <w:tcW w:type="dxa" w:w="3406"/>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after="0" w:before="0"/>
            </w:pPr>
            <w:r>
              <w:rPr>
                <w:rFonts w:ascii="Calibri" w:cs="Calibri" w:eastAsia="Calibri" w:hAnsi="Calibri"/>
                <w:b w:val="false"/>
                <w:bCs w:val="false"/>
                <w:color w:val="1A1A1A"/>
                <w:sz w:val="20"/>
                <w:szCs w:val="20"/>
              </w:rPr>
              <w:t xml:space="preserve">Multi-step agents with production or infrastructure access</w:t>
            </w:r>
          </w:p>
        </w:tc>
        <w:tc>
          <w:tcPr>
            <w:tcW w:type="dxa" w:w="300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after="0" w:before="0"/>
            </w:pPr>
            <w:r>
              <w:rPr>
                <w:rFonts w:ascii="Calibri" w:cs="Calibri" w:eastAsia="Calibri" w:hAnsi="Calibri"/>
                <w:b w:val="false"/>
                <w:bCs w:val="false"/>
                <w:color w:val="1A1A1A"/>
                <w:sz w:val="20"/>
                <w:szCs w:val="20"/>
              </w:rPr>
              <w:t xml:space="preserve">VP/CTO dual approval. Full audit logging. Platform Engineering only.</w:t>
            </w:r>
          </w:p>
        </w:tc>
      </w:tr>
    </w:tbl>
    <w:p>
      <w:pPr>
        <w:spacing w:after="0" w:before="160"/>
      </w:pPr>
    </w:p>
    <w:p>
      <w:pPr>
        <w:spacing w:after="120" w:before="80" w:line="320"/>
        <w:jc w:val="both"/>
      </w:pPr>
      <w:r>
        <w:rPr>
          <w:rFonts w:ascii="Georgia" w:cs="Georgia" w:eastAsia="Georgia" w:hAnsi="Georgia"/>
          <w:color w:val="1A1A1A"/>
          <w:sz w:val="22"/>
          <w:szCs w:val="22"/>
        </w:rPr>
        <w:t xml:space="preserve">Tier 3 access is granted automatically to all developers upon completing the AI Security Baseline training module (estimated 90 minutes, self-paced). Tier 4 access is requested via the Central AI Registry and requires a written justification, Tech Lead sign-off, and a project-level compliance review. Tier 5 is reserved for internal platform engineering teams and requires dual approval from the CTO and Head of Security.</w:t>
      </w:r>
    </w:p>
    <w:p>
      <w:pPr>
        <w:pBdr>
          <w:left w:val="single" w:color="0D6E6E" w:sz="16" w:space="8"/>
        </w:pBdr>
        <w:shd w:fill="E8F1F8" w:val="clear"/>
        <w:spacing w:after="160" w:before="160" w:line="320"/>
        <w:ind w:left="360" w:right="360"/>
      </w:pPr>
      <w:r>
        <w:rPr>
          <w:rFonts w:ascii="Georgia" w:cs="Georgia" w:eastAsia="Georgia" w:hAnsi="Georgia"/>
          <w:i/>
          <w:iCs/>
          <w:color w:val="1B2A4A"/>
          <w:sz w:val="22"/>
          <w:szCs w:val="22"/>
        </w:rPr>
        <w:t xml:space="preserve">The tiering model answers the question that every developer asks on day one: "What am I allowed to use?" That question should have a clear, immediate answer — and the answer should default to empowerment, not restriction.</w:t>
      </w:r>
    </w:p>
    <w:p>
      <w:pPr>
        <w:spacing w:after="0" w:before="0"/>
      </w:pPr>
      <w:r>
        <w:br w:type="page"/>
      </w:r>
    </w:p>
    <w:p>
      <w:pPr>
        <w:spacing w:after="0" w:before="240"/>
      </w:pPr>
    </w:p>
    <w:p>
      <w:pPr>
        <w:spacing w:after="60" w:before="0"/>
      </w:pPr>
      <w:r>
        <w:rPr>
          <w:rFonts w:ascii="Calibri" w:cs="Calibri" w:eastAsia="Calibri" w:hAnsi="Calibri"/>
          <w:b/>
          <w:bCs/>
          <w:color w:val="0D6E6E"/>
          <w:sz w:val="13"/>
          <w:szCs w:val="13"/>
        </w:rPr>
        <w:t xml:space="preserve">5  </w:t>
      </w:r>
      <w:r>
        <w:rPr>
          <w:rFonts w:ascii="Calibri" w:cs="Calibri" w:eastAsia="Calibri" w:hAnsi="Calibri"/>
          <w:b/>
          <w:bCs/>
          <w:color w:val="4A4A4A"/>
          <w:sz w:val="13"/>
          <w:szCs w:val="13"/>
        </w:rPr>
        <w:t xml:space="preserve">THE CENTRAL AI REGISTRY (CAIR)</w:t>
      </w:r>
    </w:p>
    <w:p>
      <w:pPr>
        <w:pStyle w:val="Heading1"/>
        <w:pBdr>
          <w:bottom w:val="single" w:color="0D6E6E" w:sz="6"/>
        </w:pBdr>
        <w:shd w:fill="1B2A4A" w:val="clear"/>
        <w:spacing w:after="200" w:before="0"/>
        <w:ind w:left="240" w:right="240"/>
      </w:pPr>
      <w:r>
        <w:rPr>
          <w:rFonts w:ascii="Calibri" w:cs="Calibri" w:eastAsia="Calibri" w:hAnsi="Calibri"/>
          <w:b/>
          <w:bCs/>
          <w:color w:val="FFFFFF"/>
          <w:sz w:val="36"/>
          <w:szCs w:val="36"/>
        </w:rPr>
        <w:t xml:space="preserve">The Central AI Registry (CAIR)</w:t>
      </w:r>
    </w:p>
    <w:p>
      <w:pPr>
        <w:spacing w:after="120" w:before="80" w:line="320"/>
        <w:jc w:val="both"/>
      </w:pPr>
      <w:r>
        <w:rPr>
          <w:rFonts w:ascii="Georgia" w:cs="Georgia" w:eastAsia="Georgia" w:hAnsi="Georgia"/>
          <w:color w:val="1A1A1A"/>
          <w:sz w:val="22"/>
          <w:szCs w:val="22"/>
        </w:rPr>
        <w:t xml:space="preserve">The Central AI Registry is the operational backbone of the framework. It is an internally-hosted, version-controlled catalogue of every AI tool, prompt, agent, skill, and MCP integration that the organisation uses or produces. It is not a document — it is a living system, reviewed by the security team, contributed to by developers, and queried automatically by the AI Gateway Proxy at runtime.</w:t>
      </w:r>
    </w:p>
    <w:p>
      <w:pPr>
        <w:pStyle w:val="Heading2"/>
        <w:pBdr>
          <w:bottom w:val="single" w:color="0D6E6E" w:sz="4" w:space="4"/>
        </w:pBdr>
        <w:spacing w:after="120" w:before="320"/>
      </w:pPr>
      <w:r>
        <w:rPr>
          <w:rFonts w:ascii="Calibri" w:cs="Calibri" w:eastAsia="Calibri" w:hAnsi="Calibri"/>
          <w:b/>
          <w:bCs/>
          <w:color w:val="0D6E6E"/>
          <w:sz w:val="28"/>
          <w:szCs w:val="28"/>
        </w:rPr>
        <w:t xml:space="preserve">5.1  The Approved Tool Registry</w:t>
      </w:r>
    </w:p>
    <w:p>
      <w:pPr>
        <w:spacing w:after="120" w:before="80" w:line="320"/>
        <w:jc w:val="both"/>
      </w:pPr>
      <w:r>
        <w:rPr>
          <w:rFonts w:ascii="Georgia" w:cs="Georgia" w:eastAsia="Georgia" w:hAnsi="Georgia"/>
          <w:color w:val="1A1A1A"/>
          <w:sz w:val="22"/>
          <w:szCs w:val="22"/>
        </w:rPr>
        <w:t xml:space="preserve">Every AI tool used in company or client work must appear in the Approved Tool Registry before use. The registry entry for each tool includes its permitted tier, the data classifications it is approved to handle, the vendor's data processing agreement status, and the date of last security review.</w:t>
      </w:r>
    </w:p>
    <w:p>
      <w:pPr>
        <w:spacing w:after="120" w:before="80" w:line="320"/>
        <w:jc w:val="both"/>
      </w:pPr>
      <w:r>
        <w:rPr>
          <w:rFonts w:ascii="Georgia" w:cs="Georgia" w:eastAsia="Georgia" w:hAnsi="Georgia"/>
          <w:color w:val="1A1A1A"/>
          <w:sz w:val="22"/>
          <w:szCs w:val="22"/>
        </w:rPr>
        <w:t xml:space="preserve">Tools absent from the registry are not approved. Developers encountering a tool they believe should be added may nominate it via a standard pull request to the CAIR repository. The Security team completes reviews within five business days for standard tools.</w:t>
      </w:r>
    </w:p>
    <w:p>
      <w:pPr>
        <w:pStyle w:val="Heading2"/>
        <w:pBdr>
          <w:bottom w:val="single" w:color="0D6E6E" w:sz="4" w:space="4"/>
        </w:pBdr>
        <w:spacing w:after="120" w:before="320"/>
      </w:pPr>
      <w:r>
        <w:rPr>
          <w:rFonts w:ascii="Calibri" w:cs="Calibri" w:eastAsia="Calibri" w:hAnsi="Calibri"/>
          <w:b/>
          <w:bCs/>
          <w:color w:val="0D6E6E"/>
          <w:sz w:val="28"/>
          <w:szCs w:val="28"/>
        </w:rPr>
        <w:t xml:space="preserve">5.2  The Prompt Library</w:t>
      </w:r>
    </w:p>
    <w:p>
      <w:pPr>
        <w:spacing w:after="120" w:before="80" w:line="320"/>
        <w:jc w:val="both"/>
      </w:pPr>
      <w:r>
        <w:rPr>
          <w:rFonts w:ascii="Georgia" w:cs="Georgia" w:eastAsia="Georgia" w:hAnsi="Georgia"/>
          <w:color w:val="1A1A1A"/>
          <w:sz w:val="22"/>
          <w:szCs w:val="22"/>
        </w:rPr>
        <w:t xml:space="preserve">A versioned, searchable library of approved prompts organises institutional knowledge about effective and secure AI interaction. Prompts are categorised by use case — code generation, security review, test generation, documentation, requirement analysis — and each carries compliance tags, the model versions it has been tested against, and its usage frequency.</w:t>
      </w:r>
    </w:p>
    <w:p>
      <w:pPr>
        <w:spacing w:after="120" w:before="80" w:line="320"/>
        <w:jc w:val="both"/>
      </w:pPr>
      <w:r>
        <w:rPr>
          <w:rFonts w:ascii="Georgia" w:cs="Georgia" w:eastAsia="Georgia" w:hAnsi="Georgia"/>
          <w:color w:val="1A1A1A"/>
          <w:sz w:val="22"/>
          <w:szCs w:val="22"/>
        </w:rPr>
        <w:t xml:space="preserve">The prompt library serves a dual purpose: it accelerates developer productivity by providing proven, well-engineered starting points, and it reduces security risk by ensuring that high-frequency tasks like generating authentication flows or database queries are approached with patterns known to produce secure output. Prompts are submitted by developers via PR, reviewed by the security team, and published within two business days.</w:t>
      </w:r>
    </w:p>
    <w:p>
      <w:pPr>
        <w:pStyle w:val="Heading2"/>
        <w:pBdr>
          <w:bottom w:val="single" w:color="0D6E6E" w:sz="4" w:space="4"/>
        </w:pBdr>
        <w:spacing w:after="120" w:before="320"/>
      </w:pPr>
      <w:r>
        <w:rPr>
          <w:rFonts w:ascii="Calibri" w:cs="Calibri" w:eastAsia="Calibri" w:hAnsi="Calibri"/>
          <w:b/>
          <w:bCs/>
          <w:color w:val="0D6E6E"/>
          <w:sz w:val="28"/>
          <w:szCs w:val="28"/>
        </w:rPr>
        <w:t xml:space="preserve">5.3  The Agent and Skill Registry</w:t>
      </w:r>
    </w:p>
    <w:p>
      <w:pPr>
        <w:spacing w:after="120" w:before="80" w:line="320"/>
        <w:jc w:val="both"/>
      </w:pPr>
      <w:r>
        <w:rPr>
          <w:rFonts w:ascii="Georgia" w:cs="Georgia" w:eastAsia="Georgia" w:hAnsi="Georgia"/>
          <w:color w:val="1A1A1A"/>
          <w:sz w:val="22"/>
          <w:szCs w:val="22"/>
        </w:rPr>
        <w:t xml:space="preserve">All Tier 4 and Tier 5 agents must be registered before deployment. A registration requires the agent's name, owner, and purpose; a complete and reviewed permission manifest; the data classification of inputs and outputs; the compliance context in which it operates; a defined rollback procedure; and the human escalation conditions under which the agent must pause and seek approval.</w:t>
      </w:r>
    </w:p>
    <w:p>
      <w:pPr>
        <w:spacing w:after="120" w:before="80" w:line="320"/>
        <w:jc w:val="both"/>
      </w:pPr>
      <w:r>
        <w:rPr>
          <w:rFonts w:ascii="Georgia" w:cs="Georgia" w:eastAsia="Georgia" w:hAnsi="Georgia"/>
          <w:color w:val="1A1A1A"/>
          <w:sz w:val="22"/>
          <w:szCs w:val="22"/>
        </w:rPr>
        <w:t xml:space="preserve">Stripe's model of one-shot end-to-end coding agents producing over a thousand pull requests per week is achievable within this framework. The critical requirement is that agents operate within a controlled pipeline in which every generated PR passes automated security gates and receives mandatory human review before merging. Velocity and governance are not in tension — they are complementary when the pipeline is designed correctly.</w:t>
      </w:r>
    </w:p>
    <w:p>
      <w:pPr>
        <w:pStyle w:val="Heading2"/>
        <w:pBdr>
          <w:bottom w:val="single" w:color="0D6E6E" w:sz="4" w:space="4"/>
        </w:pBdr>
        <w:spacing w:after="120" w:before="320"/>
      </w:pPr>
      <w:r>
        <w:rPr>
          <w:rFonts w:ascii="Calibri" w:cs="Calibri" w:eastAsia="Calibri" w:hAnsi="Calibri"/>
          <w:b/>
          <w:bCs/>
          <w:color w:val="0D6E6E"/>
          <w:sz w:val="28"/>
          <w:szCs w:val="28"/>
        </w:rPr>
        <w:t xml:space="preserve">5.4  The MCP Server Registry</w:t>
      </w:r>
    </w:p>
    <w:p>
      <w:pPr>
        <w:spacing w:after="120" w:before="80" w:line="320"/>
        <w:jc w:val="both"/>
      </w:pPr>
      <w:r>
        <w:rPr>
          <w:rFonts w:ascii="Georgia" w:cs="Georgia" w:eastAsia="Georgia" w:hAnsi="Georgia"/>
          <w:color w:val="1A1A1A"/>
          <w:sz w:val="22"/>
          <w:szCs w:val="22"/>
        </w:rPr>
        <w:t xml:space="preserve">Model Context Protocol integrations are treated with the rigour of third-party software libraries. Before any MCP is available to developers, its source code or vendor security documentation must be reviewed, its data flows must be documented, a Data Processing Agreement must be in place for any MCP that transmits client data, and all connections must be proxied through company infrastructure rather than established directly from developer workstations.</w:t>
      </w:r>
    </w:p>
    <w:p>
      <w:pPr>
        <w:pStyle w:val="Heading2"/>
        <w:pBdr>
          <w:bottom w:val="single" w:color="0D6E6E" w:sz="4" w:space="4"/>
        </w:pBdr>
        <w:spacing w:after="120" w:before="320"/>
      </w:pPr>
      <w:r>
        <w:rPr>
          <w:rFonts w:ascii="Calibri" w:cs="Calibri" w:eastAsia="Calibri" w:hAnsi="Calibri"/>
          <w:b/>
          <w:bCs/>
          <w:color w:val="0D6E6E"/>
          <w:sz w:val="28"/>
          <w:szCs w:val="28"/>
        </w:rPr>
        <w:t xml:space="preserve">5.5  The AI-SBOM</w:t>
      </w:r>
    </w:p>
    <w:p>
      <w:pPr>
        <w:spacing w:after="120" w:before="80" w:line="320"/>
        <w:jc w:val="both"/>
      </w:pPr>
      <w:r>
        <w:rPr>
          <w:rFonts w:ascii="Georgia" w:cs="Georgia" w:eastAsia="Georgia" w:hAnsi="Georgia"/>
          <w:color w:val="1A1A1A"/>
          <w:sz w:val="22"/>
          <w:szCs w:val="22"/>
        </w:rPr>
        <w:t xml:space="preserve">Every repository maintains an AI Software Bill of Materials — a machine-readable manifest automatically updated by the CI/CD pipeline that declares the degree and nature of AI involvement in the codebase. The AI-SBOM records the tools used, the percentage of AI-assisted lines, the prompts referenced, the security scans passed, the human reviewer, and the applicable compliance context. This file forms a core component of SOC 2 audit evidence packages and GDPR accountability documentation.</w:t>
      </w:r>
    </w:p>
    <w:p>
      <w:pPr>
        <w:spacing w:after="0" w:before="0"/>
      </w:pPr>
      <w:r>
        <w:br w:type="page"/>
      </w:r>
    </w:p>
    <w:p>
      <w:pPr>
        <w:spacing w:after="0" w:before="240"/>
      </w:pPr>
    </w:p>
    <w:p>
      <w:pPr>
        <w:spacing w:after="60" w:before="0"/>
      </w:pPr>
      <w:r>
        <w:rPr>
          <w:rFonts w:ascii="Calibri" w:cs="Calibri" w:eastAsia="Calibri" w:hAnsi="Calibri"/>
          <w:b/>
          <w:bCs/>
          <w:color w:val="0D6E6E"/>
          <w:sz w:val="13"/>
          <w:szCs w:val="13"/>
        </w:rPr>
        <w:t xml:space="preserve">6  </w:t>
      </w:r>
      <w:r>
        <w:rPr>
          <w:rFonts w:ascii="Calibri" w:cs="Calibri" w:eastAsia="Calibri" w:hAnsi="Calibri"/>
          <w:b/>
          <w:bCs/>
          <w:color w:val="4A4A4A"/>
          <w:sz w:val="13"/>
          <w:szCs w:val="13"/>
        </w:rPr>
        <w:t xml:space="preserve">THE AI-DRIVEN DEVELOPMENT LIFECYCLE</w:t>
      </w:r>
    </w:p>
    <w:p>
      <w:pPr>
        <w:pStyle w:val="Heading1"/>
        <w:pBdr>
          <w:bottom w:val="single" w:color="0D6E6E" w:sz="6"/>
        </w:pBdr>
        <w:shd w:fill="1B2A4A" w:val="clear"/>
        <w:spacing w:after="200" w:before="0"/>
        <w:ind w:left="240" w:right="240"/>
      </w:pPr>
      <w:r>
        <w:rPr>
          <w:rFonts w:ascii="Calibri" w:cs="Calibri" w:eastAsia="Calibri" w:hAnsi="Calibri"/>
          <w:b/>
          <w:bCs/>
          <w:color w:val="FFFFFF"/>
          <w:sz w:val="36"/>
          <w:szCs w:val="36"/>
        </w:rPr>
        <w:t xml:space="preserve">The AI-Driven Development Lifecycle</w:t>
      </w:r>
    </w:p>
    <w:p>
      <w:pPr>
        <w:spacing w:after="120" w:before="80" w:line="320"/>
        <w:jc w:val="both"/>
      </w:pPr>
      <w:r>
        <w:rPr>
          <w:rFonts w:ascii="Georgia" w:cs="Georgia" w:eastAsia="Georgia" w:hAnsi="Georgia"/>
          <w:color w:val="1A1A1A"/>
          <w:sz w:val="22"/>
          <w:szCs w:val="22"/>
        </w:rPr>
        <w:t xml:space="preserve">The AI-Driven Development Lifecycle (AI-DLC) defines how artificial intelligence is embedded into each phase of the software development process — from initial requirements through production operations — with human checkpoints that are non-negotiable and human accountability that is unambiguous.</w:t>
      </w:r>
    </w:p>
    <w:p>
      <w:pPr>
        <w:spacing w:after="120" w:before="80" w:line="320"/>
        <w:jc w:val="both"/>
      </w:pPr>
      <w:r>
        <w:rPr>
          <w:rFonts w:ascii="Georgia" w:cs="Georgia" w:eastAsia="Georgia" w:hAnsi="Georgia"/>
          <w:color w:val="1A1A1A"/>
          <w:sz w:val="22"/>
          <w:szCs w:val="22"/>
        </w:rPr>
        <w:t xml:space="preserve">The methodology draws on the AI-DLC work published by AWS, which positions AI as a central collaborator with a repeating pattern of plan, clarify, and implement — where implementation only proceeds after human validation. It incorporates Stripe's agentic pipeline discipline and StrongDM's software factory approach to continuous delivery. It adapts these patterns for the compliance and security requirements of enterprise client work.</w:t>
      </w:r>
    </w:p>
    <w:p>
      <w:pPr>
        <w:pStyle w:val="Heading2"/>
        <w:pBdr>
          <w:bottom w:val="single" w:color="0D6E6E" w:sz="4" w:space="4"/>
        </w:pBdr>
        <w:spacing w:after="120" w:before="320"/>
      </w:pPr>
      <w:r>
        <w:rPr>
          <w:rFonts w:ascii="Calibri" w:cs="Calibri" w:eastAsia="Calibri" w:hAnsi="Calibri"/>
          <w:b/>
          <w:bCs/>
          <w:color w:val="0D6E6E"/>
          <w:sz w:val="28"/>
          <w:szCs w:val="28"/>
        </w:rPr>
        <w:t xml:space="preserve">Phase 0: Compliance Context Setup</w:t>
      </w:r>
    </w:p>
    <w:p>
      <w:pPr>
        <w:spacing w:after="120" w:before="80" w:line="320"/>
        <w:jc w:val="both"/>
      </w:pPr>
      <w:r>
        <w:rPr>
          <w:rFonts w:ascii="Georgia" w:cs="Georgia" w:eastAsia="Georgia" w:hAnsi="Georgia"/>
          <w:color w:val="1A1A1A"/>
          <w:sz w:val="22"/>
          <w:szCs w:val="22"/>
        </w:rPr>
        <w:t xml:space="preserve">Before any AI tool is used on a project, a Compliance Context File (.ai-context.yaml) must be created in the repository root. This file declares the project's compliance requirements, data classification, maximum permitted AI tier, approved tooling list, and the audit log destination. It is read by the AI Gateway Proxy and injected as system context into every AI interaction on that project. Developers do not manually specify compliance context in prompts — the system handles it automatically.</w:t>
      </w:r>
    </w:p>
    <w:p>
      <w:pPr>
        <w:pStyle w:val="Heading2"/>
        <w:pBdr>
          <w:bottom w:val="single" w:color="0D6E6E" w:sz="4" w:space="4"/>
        </w:pBdr>
        <w:spacing w:after="120" w:before="320"/>
      </w:pPr>
      <w:r>
        <w:rPr>
          <w:rFonts w:ascii="Calibri" w:cs="Calibri" w:eastAsia="Calibri" w:hAnsi="Calibri"/>
          <w:b/>
          <w:bCs/>
          <w:color w:val="0D6E6E"/>
          <w:sz w:val="28"/>
          <w:szCs w:val="28"/>
        </w:rPr>
        <w:t xml:space="preserve">Phase 1: Inception</w:t>
      </w:r>
    </w:p>
    <w:p>
      <w:pPr>
        <w:spacing w:after="120" w:before="80" w:line="320"/>
        <w:jc w:val="both"/>
      </w:pPr>
      <w:r>
        <w:rPr>
          <w:rFonts w:ascii="Georgia" w:cs="Georgia" w:eastAsia="Georgia" w:hAnsi="Georgia"/>
          <w:color w:val="1A1A1A"/>
          <w:sz w:val="22"/>
          <w:szCs w:val="22"/>
        </w:rPr>
        <w:t xml:space="preserve">Requirements gathering and architecture are human-led and AI-accelerated. The product owner or tech lead writes the initial intent in plain language. The AI generates structured requirements, user stories, edge cases, and a preliminary threat model. The team reviews the output in a time-boxed collaborative session — no longer than two hours — and humans make all final decisions on scope, architecture, and risk acceptance. Architecture Decision Records are human-authored, even when AI-drafted.</w:t>
      </w:r>
    </w:p>
    <w:p>
      <w:pPr>
        <w:pStyle w:val="Heading2"/>
        <w:pBdr>
          <w:bottom w:val="single" w:color="0D6E6E" w:sz="4" w:space="4"/>
        </w:pBdr>
        <w:spacing w:after="120" w:before="320"/>
      </w:pPr>
      <w:r>
        <w:rPr>
          <w:rFonts w:ascii="Calibri" w:cs="Calibri" w:eastAsia="Calibri" w:hAnsi="Calibri"/>
          <w:b/>
          <w:bCs/>
          <w:color w:val="0D6E6E"/>
          <w:sz w:val="28"/>
          <w:szCs w:val="28"/>
        </w:rPr>
        <w:t xml:space="preserve">Phase 2: Construction</w:t>
      </w:r>
    </w:p>
    <w:p>
      <w:pPr>
        <w:spacing w:after="120" w:before="80" w:line="320"/>
        <w:jc w:val="both"/>
      </w:pPr>
      <w:r>
        <w:rPr>
          <w:rFonts w:ascii="Georgia" w:cs="Georgia" w:eastAsia="Georgia" w:hAnsi="Georgia"/>
          <w:color w:val="1A1A1A"/>
          <w:sz w:val="22"/>
          <w:szCs w:val="22"/>
        </w:rPr>
        <w:t xml:space="preserve">Code generation, testing, and documentation represent the highest-productivity phase of AI involvement. Developers select from approved prompt templates in the CAIR library, or author and submit new ones. AI generates code within the approved IDE assistant or coding agent. Immediately upon generation, an automated gate runs: static analysis, secret detection, dependency vulnerability scanning, PII pattern detection, and compliance linting against the project context file.</w:t>
      </w:r>
    </w:p>
    <w:p>
      <w:pPr>
        <w:spacing w:after="120" w:before="80" w:line="320"/>
        <w:jc w:val="both"/>
      </w:pPr>
      <w:r>
        <w:rPr>
          <w:rFonts w:ascii="Georgia" w:cs="Georgia" w:eastAsia="Georgia" w:hAnsi="Georgia"/>
          <w:color w:val="1A1A1A"/>
          <w:sz w:val="22"/>
          <w:szCs w:val="22"/>
        </w:rPr>
        <w:t xml:space="preserve">No generated code may be committed if any gate fails. The developer resolves the issue — with or without AI assistance — before proceeding. Pull requests are opened to human reviewers, who must attest that they have read and understood the code, not merely reviewed an AI-generated summary of it. A second automated scan runs on the full PR diff before merge is permitted. The AI-SBOM is updated automatically by the CI pipeline on every merge.</w:t>
      </w:r>
    </w:p>
    <w:p>
      <w:pPr>
        <w:pBdr>
          <w:left w:val="single" w:color="0D6E6E" w:sz="16" w:space="8"/>
        </w:pBdr>
        <w:shd w:fill="E8F1F8" w:val="clear"/>
        <w:spacing w:after="160" w:before="160" w:line="320"/>
        <w:ind w:left="360" w:right="360"/>
      </w:pPr>
      <w:r>
        <w:rPr>
          <w:rFonts w:ascii="Georgia" w:cs="Georgia" w:eastAsia="Georgia" w:hAnsi="Georgia"/>
          <w:i/>
          <w:iCs/>
          <w:color w:val="1B2A4A"/>
          <w:sz w:val="22"/>
          <w:szCs w:val="22"/>
        </w:rPr>
        <w:t xml:space="preserve">The No Rubber Stamp Rule: reviewers attest "I have read and understood this code" — not "I have reviewed the AI summary of this code." The reviewer is accountable for the actual code, not the description of it.</w:t>
      </w:r>
    </w:p>
    <w:p>
      <w:pPr>
        <w:pStyle w:val="Heading2"/>
        <w:pBdr>
          <w:bottom w:val="single" w:color="0D6E6E" w:sz="4" w:space="4"/>
        </w:pBdr>
        <w:spacing w:after="120" w:before="320"/>
      </w:pPr>
      <w:r>
        <w:rPr>
          <w:rFonts w:ascii="Calibri" w:cs="Calibri" w:eastAsia="Calibri" w:hAnsi="Calibri"/>
          <w:b/>
          <w:bCs/>
          <w:color w:val="0D6E6E"/>
          <w:sz w:val="28"/>
          <w:szCs w:val="28"/>
        </w:rPr>
        <w:t xml:space="preserve">Phase 3: Operations</w:t>
      </w:r>
    </w:p>
    <w:p>
      <w:pPr>
        <w:spacing w:after="120" w:before="80" w:line="320"/>
        <w:jc w:val="both"/>
      </w:pPr>
      <w:r>
        <w:rPr>
          <w:rFonts w:ascii="Georgia" w:cs="Georgia" w:eastAsia="Georgia" w:hAnsi="Georgia"/>
          <w:color w:val="1A1A1A"/>
          <w:sz w:val="22"/>
          <w:szCs w:val="22"/>
        </w:rPr>
        <w:t xml:space="preserve">Infrastructure-as-Code changes generated by AI require human architect or senior developer sign-off before deployment to any non-sandbox environment. AI-generated runbooks must be reviewed by the relevant on-call engineer before promotion to the incident response playbook. AI may generate alerts, anomaly reports, and suggested remediations in production environments — but all remediative actions require explicit human authorisation. No autonomous changes to production systems are permitted under any tier.</w:t>
      </w:r>
    </w:p>
    <w:p>
      <w:pPr>
        <w:pStyle w:val="Heading2"/>
        <w:pBdr>
          <w:bottom w:val="single" w:color="0D6E6E" w:sz="4" w:space="4"/>
        </w:pBdr>
        <w:spacing w:after="120" w:before="320"/>
      </w:pPr>
      <w:r>
        <w:rPr>
          <w:rFonts w:ascii="Calibri" w:cs="Calibri" w:eastAsia="Calibri" w:hAnsi="Calibri"/>
          <w:b/>
          <w:bCs/>
          <w:color w:val="0D6E6E"/>
          <w:sz w:val="28"/>
          <w:szCs w:val="28"/>
        </w:rPr>
        <w:t xml:space="preserve">Phase 4: Continuous Improvement</w:t>
      </w:r>
    </w:p>
    <w:p>
      <w:pPr>
        <w:spacing w:after="120" w:before="80" w:line="320"/>
        <w:jc w:val="both"/>
      </w:pPr>
      <w:r>
        <w:rPr>
          <w:rFonts w:ascii="Georgia" w:cs="Georgia" w:eastAsia="Georgia" w:hAnsi="Georgia"/>
          <w:color w:val="1A1A1A"/>
          <w:sz w:val="22"/>
          <w:szCs w:val="22"/>
        </w:rPr>
        <w:t xml:space="preserve">AI-generated code is tracked over time for recurring vulnerability patterns. A monthly AI Quality Report provides teams with an aggregate view of how much AI-generated code passed or failed security gates, which compliance rules are most frequently violated, and which prompt templates are producing the best outcomes. The CAIR prompt library is updated based on this data — prompts that produce insecure patterns are revised or retired.</w:t>
      </w:r>
    </w:p>
    <w:p>
      <w:pPr>
        <w:spacing w:after="0" w:before="0"/>
      </w:pPr>
      <w:r>
        <w:br w:type="page"/>
      </w:r>
    </w:p>
    <w:p>
      <w:pPr>
        <w:spacing w:after="0" w:before="240"/>
      </w:pPr>
    </w:p>
    <w:p>
      <w:pPr>
        <w:spacing w:after="60" w:before="0"/>
      </w:pPr>
      <w:r>
        <w:rPr>
          <w:rFonts w:ascii="Calibri" w:cs="Calibri" w:eastAsia="Calibri" w:hAnsi="Calibri"/>
          <w:b/>
          <w:bCs/>
          <w:color w:val="0D6E6E"/>
          <w:sz w:val="13"/>
          <w:szCs w:val="13"/>
        </w:rPr>
        <w:t xml:space="preserve">7  </w:t>
      </w:r>
      <w:r>
        <w:rPr>
          <w:rFonts w:ascii="Calibri" w:cs="Calibri" w:eastAsia="Calibri" w:hAnsi="Calibri"/>
          <w:b/>
          <w:bCs/>
          <w:color w:val="4A4A4A"/>
          <w:sz w:val="13"/>
          <w:szCs w:val="13"/>
        </w:rPr>
        <w:t xml:space="preserve">ROLE-BASED RESPONSIBILITIES</w:t>
      </w:r>
    </w:p>
    <w:p>
      <w:pPr>
        <w:pStyle w:val="Heading1"/>
        <w:pBdr>
          <w:bottom w:val="single" w:color="0D6E6E" w:sz="6"/>
        </w:pBdr>
        <w:shd w:fill="1B2A4A" w:val="clear"/>
        <w:spacing w:after="200" w:before="0"/>
        <w:ind w:left="240" w:right="240"/>
      </w:pPr>
      <w:r>
        <w:rPr>
          <w:rFonts w:ascii="Calibri" w:cs="Calibri" w:eastAsia="Calibri" w:hAnsi="Calibri"/>
          <w:b/>
          <w:bCs/>
          <w:color w:val="FFFFFF"/>
          <w:sz w:val="36"/>
          <w:szCs w:val="36"/>
        </w:rPr>
        <w:t xml:space="preserve">Role-Based Responsibilities</w:t>
      </w:r>
    </w:p>
    <w:p>
      <w:pPr>
        <w:spacing w:after="120" w:before="80" w:line="320"/>
        <w:jc w:val="both"/>
      </w:pPr>
      <w:r>
        <w:rPr>
          <w:rFonts w:ascii="Georgia" w:cs="Georgia" w:eastAsia="Georgia" w:hAnsi="Georgia"/>
          <w:color w:val="1A1A1A"/>
          <w:sz w:val="22"/>
          <w:szCs w:val="22"/>
        </w:rPr>
        <w:t xml:space="preserve">Governance without clear ownership is theatre. The following matrix defines what each role in the organisation is expected to do, what they are permitted to do, and what they are accountable for in the context of AI-assisted development.</w:t>
      </w:r>
    </w:p>
    <w:p>
      <w:pPr>
        <w:spacing w:after="0" w:before="120"/>
      </w:pP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800"/>
        <w:gridCol w:w="1000"/>
        <w:gridCol w:w="1400"/>
        <w:gridCol w:w="1706"/>
        <w:gridCol w:w="1800"/>
        <w:gridCol w:w="1800"/>
      </w:tblGrid>
      <w:tr>
        <w:trPr>
          <w:tblHeader/>
        </w:trPr>
        <w:tc>
          <w:tcPr>
            <w:tcW w:type="dxa" w:w="1800"/>
            <w:gridSpan w:val="1"/>
            <w:tcBorders>
              <w:top w:val="single" w:color="CCCCCC" w:sz="4"/>
              <w:left w:val="single" w:color="CCCCCC" w:sz="4"/>
              <w:bottom w:val="single" w:color="CCCCCC" w:sz="4"/>
              <w:right w:val="single" w:color="CCCCCC" w:sz="4"/>
            </w:tcBorders>
            <w:shd w:fill="1B2A4A" w:val="clear"/>
            <w:tcMar>
              <w:top w:type="dxa" w:w="80"/>
              <w:left w:type="dxa" w:w="140"/>
              <w:bottom w:type="dxa" w:w="80"/>
              <w:right w:type="dxa" w:w="140"/>
            </w:tcMar>
            <w:vAlign w:val="center"/>
          </w:tcPr>
          <w:p>
            <w:pPr>
              <w:spacing w:after="0" w:before="0"/>
            </w:pPr>
            <w:r>
              <w:rPr>
                <w:rFonts w:ascii="Calibri" w:cs="Calibri" w:eastAsia="Calibri" w:hAnsi="Calibri"/>
                <w:b/>
                <w:bCs/>
                <w:color w:val="FFFFFF"/>
                <w:sz w:val="20"/>
                <w:szCs w:val="20"/>
              </w:rPr>
              <w:t xml:space="preserve">Role</w:t>
            </w:r>
          </w:p>
        </w:tc>
        <w:tc>
          <w:tcPr>
            <w:tcW w:type="dxa" w:w="1000"/>
            <w:gridSpan w:val="1"/>
            <w:tcBorders>
              <w:top w:val="single" w:color="CCCCCC" w:sz="4"/>
              <w:left w:val="single" w:color="CCCCCC" w:sz="4"/>
              <w:bottom w:val="single" w:color="CCCCCC" w:sz="4"/>
              <w:right w:val="single" w:color="CCCCCC" w:sz="4"/>
            </w:tcBorders>
            <w:shd w:fill="1B2A4A" w:val="clear"/>
            <w:tcMar>
              <w:top w:type="dxa" w:w="80"/>
              <w:left w:type="dxa" w:w="140"/>
              <w:bottom w:type="dxa" w:w="80"/>
              <w:right w:type="dxa" w:w="140"/>
            </w:tcMar>
            <w:vAlign w:val="center"/>
          </w:tcPr>
          <w:p>
            <w:pPr>
              <w:spacing w:after="0" w:before="0"/>
            </w:pPr>
            <w:r>
              <w:rPr>
                <w:rFonts w:ascii="Calibri" w:cs="Calibri" w:eastAsia="Calibri" w:hAnsi="Calibri"/>
                <w:b/>
                <w:bCs/>
                <w:color w:val="FFFFFF"/>
                <w:sz w:val="20"/>
                <w:szCs w:val="20"/>
              </w:rPr>
              <w:t xml:space="preserve">Tier</w:t>
            </w:r>
          </w:p>
        </w:tc>
        <w:tc>
          <w:tcPr>
            <w:tcW w:type="dxa" w:w="1400"/>
            <w:gridSpan w:val="1"/>
            <w:tcBorders>
              <w:top w:val="single" w:color="CCCCCC" w:sz="4"/>
              <w:left w:val="single" w:color="CCCCCC" w:sz="4"/>
              <w:bottom w:val="single" w:color="CCCCCC" w:sz="4"/>
              <w:right w:val="single" w:color="CCCCCC" w:sz="4"/>
            </w:tcBorders>
            <w:shd w:fill="1B2A4A" w:val="clear"/>
            <w:tcMar>
              <w:top w:type="dxa" w:w="80"/>
              <w:left w:type="dxa" w:w="140"/>
              <w:bottom w:type="dxa" w:w="80"/>
              <w:right w:type="dxa" w:w="140"/>
            </w:tcMar>
            <w:vAlign w:val="center"/>
          </w:tcPr>
          <w:p>
            <w:pPr>
              <w:spacing w:after="0" w:before="0"/>
            </w:pPr>
            <w:r>
              <w:rPr>
                <w:rFonts w:ascii="Calibri" w:cs="Calibri" w:eastAsia="Calibri" w:hAnsi="Calibri"/>
                <w:b/>
                <w:bCs/>
                <w:color w:val="FFFFFF"/>
                <w:sz w:val="20"/>
                <w:szCs w:val="20"/>
              </w:rPr>
              <w:t xml:space="preserve">Agents?</w:t>
            </w:r>
          </w:p>
        </w:tc>
        <w:tc>
          <w:tcPr>
            <w:tcW w:type="dxa" w:w="1706"/>
            <w:gridSpan w:val="1"/>
            <w:tcBorders>
              <w:top w:val="single" w:color="CCCCCC" w:sz="4"/>
              <w:left w:val="single" w:color="CCCCCC" w:sz="4"/>
              <w:bottom w:val="single" w:color="CCCCCC" w:sz="4"/>
              <w:right w:val="single" w:color="CCCCCC" w:sz="4"/>
            </w:tcBorders>
            <w:shd w:fill="1B2A4A" w:val="clear"/>
            <w:tcMar>
              <w:top w:type="dxa" w:w="80"/>
              <w:left w:type="dxa" w:w="140"/>
              <w:bottom w:type="dxa" w:w="80"/>
              <w:right w:type="dxa" w:w="140"/>
            </w:tcMar>
            <w:vAlign w:val="center"/>
          </w:tcPr>
          <w:p>
            <w:pPr>
              <w:spacing w:after="0" w:before="0"/>
            </w:pPr>
            <w:r>
              <w:rPr>
                <w:rFonts w:ascii="Calibri" w:cs="Calibri" w:eastAsia="Calibri" w:hAnsi="Calibri"/>
                <w:b/>
                <w:bCs/>
                <w:color w:val="FFFFFF"/>
                <w:sz w:val="20"/>
                <w:szCs w:val="20"/>
              </w:rPr>
              <w:t xml:space="preserve">CAIR Contribution</w:t>
            </w:r>
          </w:p>
        </w:tc>
        <w:tc>
          <w:tcPr>
            <w:tcW w:type="dxa" w:w="1800"/>
            <w:gridSpan w:val="1"/>
            <w:tcBorders>
              <w:top w:val="single" w:color="CCCCCC" w:sz="4"/>
              <w:left w:val="single" w:color="CCCCCC" w:sz="4"/>
              <w:bottom w:val="single" w:color="CCCCCC" w:sz="4"/>
              <w:right w:val="single" w:color="CCCCCC" w:sz="4"/>
            </w:tcBorders>
            <w:shd w:fill="1B2A4A" w:val="clear"/>
            <w:tcMar>
              <w:top w:type="dxa" w:w="80"/>
              <w:left w:type="dxa" w:w="140"/>
              <w:bottom w:type="dxa" w:w="80"/>
              <w:right w:type="dxa" w:w="140"/>
            </w:tcMar>
            <w:vAlign w:val="center"/>
          </w:tcPr>
          <w:p>
            <w:pPr>
              <w:spacing w:after="0" w:before="0"/>
            </w:pPr>
            <w:r>
              <w:rPr>
                <w:rFonts w:ascii="Calibri" w:cs="Calibri" w:eastAsia="Calibri" w:hAnsi="Calibri"/>
                <w:b/>
                <w:bCs/>
                <w:color w:val="FFFFFF"/>
                <w:sz w:val="20"/>
                <w:szCs w:val="20"/>
              </w:rPr>
              <w:t xml:space="preserve">Can Review AI PRs?</w:t>
            </w:r>
          </w:p>
        </w:tc>
        <w:tc>
          <w:tcPr>
            <w:tcW w:type="dxa" w:w="1800"/>
            <w:gridSpan w:val="1"/>
            <w:tcBorders>
              <w:top w:val="single" w:color="CCCCCC" w:sz="4"/>
              <w:left w:val="single" w:color="CCCCCC" w:sz="4"/>
              <w:bottom w:val="single" w:color="CCCCCC" w:sz="4"/>
              <w:right w:val="single" w:color="CCCCCC" w:sz="4"/>
            </w:tcBorders>
            <w:shd w:fill="1B2A4A" w:val="clear"/>
            <w:tcMar>
              <w:top w:type="dxa" w:w="80"/>
              <w:left w:type="dxa" w:w="140"/>
              <w:bottom w:type="dxa" w:w="80"/>
              <w:right w:type="dxa" w:w="140"/>
            </w:tcMar>
            <w:vAlign w:val="center"/>
          </w:tcPr>
          <w:p>
            <w:pPr>
              <w:spacing w:after="0" w:before="0"/>
            </w:pPr>
            <w:r>
              <w:rPr>
                <w:rFonts w:ascii="Calibri" w:cs="Calibri" w:eastAsia="Calibri" w:hAnsi="Calibri"/>
                <w:b/>
                <w:bCs/>
                <w:color w:val="FFFFFF"/>
                <w:sz w:val="20"/>
                <w:szCs w:val="20"/>
              </w:rPr>
              <w:t xml:space="preserve">Can Approve AI IaC?</w:t>
            </w:r>
          </w:p>
        </w:tc>
      </w:tr>
      <w:tr>
        <w:tc>
          <w:tcPr>
            <w:tcW w:type="dxa" w:w="180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after="0" w:before="0"/>
            </w:pPr>
            <w:r>
              <w:rPr>
                <w:rFonts w:ascii="Calibri" w:cs="Calibri" w:eastAsia="Calibri" w:hAnsi="Calibri"/>
                <w:b w:val="false"/>
                <w:bCs w:val="false"/>
                <w:color w:val="1A1A1A"/>
                <w:sz w:val="20"/>
                <w:szCs w:val="20"/>
              </w:rPr>
              <w:t xml:space="preserve">Intern</w:t>
            </w:r>
          </w:p>
        </w:tc>
        <w:tc>
          <w:tcPr>
            <w:tcW w:type="dxa" w:w="100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after="0" w:before="0"/>
            </w:pPr>
            <w:r>
              <w:rPr>
                <w:rFonts w:ascii="Calibri" w:cs="Calibri" w:eastAsia="Calibri" w:hAnsi="Calibri"/>
                <w:b w:val="false"/>
                <w:bCs w:val="false"/>
                <w:color w:val="1A1A1A"/>
                <w:sz w:val="20"/>
                <w:szCs w:val="20"/>
              </w:rPr>
              <w:t xml:space="preserve">1–2</w:t>
            </w:r>
          </w:p>
        </w:tc>
        <w:tc>
          <w:tcPr>
            <w:tcW w:type="dxa" w:w="140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after="0" w:before="0"/>
            </w:pPr>
            <w:r>
              <w:rPr>
                <w:rFonts w:ascii="Calibri" w:cs="Calibri" w:eastAsia="Calibri" w:hAnsi="Calibri"/>
                <w:b w:val="false"/>
                <w:bCs w:val="false"/>
                <w:color w:val="1A1A1A"/>
                <w:sz w:val="20"/>
                <w:szCs w:val="20"/>
              </w:rPr>
              <w:t xml:space="preserve">No</w:t>
            </w:r>
          </w:p>
        </w:tc>
        <w:tc>
          <w:tcPr>
            <w:tcW w:type="dxa" w:w="1706"/>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after="0" w:before="0"/>
            </w:pPr>
            <w:r>
              <w:rPr>
                <w:rFonts w:ascii="Calibri" w:cs="Calibri" w:eastAsia="Calibri" w:hAnsi="Calibri"/>
                <w:b w:val="false"/>
                <w:bCs w:val="false"/>
                <w:color w:val="1A1A1A"/>
                <w:sz w:val="20"/>
                <w:szCs w:val="20"/>
              </w:rPr>
              <w:t xml:space="preserve">Suggest only</w:t>
            </w:r>
          </w:p>
        </w:tc>
        <w:tc>
          <w:tcPr>
            <w:tcW w:type="dxa" w:w="180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after="0" w:before="0"/>
            </w:pPr>
            <w:r>
              <w:rPr>
                <w:rFonts w:ascii="Calibri" w:cs="Calibri" w:eastAsia="Calibri" w:hAnsi="Calibri"/>
                <w:b w:val="false"/>
                <w:bCs w:val="false"/>
                <w:color w:val="1A1A1A"/>
                <w:sz w:val="20"/>
                <w:szCs w:val="20"/>
              </w:rPr>
              <w:t xml:space="preserve">No</w:t>
            </w:r>
          </w:p>
        </w:tc>
        <w:tc>
          <w:tcPr>
            <w:tcW w:type="dxa" w:w="180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after="0" w:before="0"/>
            </w:pPr>
            <w:r>
              <w:rPr>
                <w:rFonts w:ascii="Calibri" w:cs="Calibri" w:eastAsia="Calibri" w:hAnsi="Calibri"/>
                <w:b w:val="false"/>
                <w:bCs w:val="false"/>
                <w:color w:val="1A1A1A"/>
                <w:sz w:val="20"/>
                <w:szCs w:val="20"/>
              </w:rPr>
              <w:t xml:space="preserve">No</w:t>
            </w:r>
          </w:p>
        </w:tc>
      </w:tr>
      <w:tr>
        <w:tc>
          <w:tcPr>
            <w:tcW w:type="dxa" w:w="1800"/>
            <w:gridSpan w:val="1"/>
            <w:tcBorders>
              <w:top w:val="single" w:color="CCCCCC" w:sz="4"/>
              <w:left w:val="single" w:color="CCCCCC" w:sz="4"/>
              <w:bottom w:val="single" w:color="CCCCCC" w:sz="4"/>
              <w:right w:val="single" w:color="CCCCCC" w:sz="4"/>
            </w:tcBorders>
            <w:shd w:fill="F4F6F8" w:val="clear"/>
            <w:tcMar>
              <w:top w:type="dxa" w:w="80"/>
              <w:left w:type="dxa" w:w="140"/>
              <w:bottom w:type="dxa" w:w="80"/>
              <w:right w:type="dxa" w:w="140"/>
            </w:tcMar>
            <w:vAlign w:val="center"/>
          </w:tcPr>
          <w:p>
            <w:pPr>
              <w:spacing w:after="0" w:before="0"/>
            </w:pPr>
            <w:r>
              <w:rPr>
                <w:rFonts w:ascii="Calibri" w:cs="Calibri" w:eastAsia="Calibri" w:hAnsi="Calibri"/>
                <w:b w:val="false"/>
                <w:bCs w:val="false"/>
                <w:color w:val="1A1A1A"/>
                <w:sz w:val="20"/>
                <w:szCs w:val="20"/>
              </w:rPr>
              <w:t xml:space="preserve">Junior Developer</w:t>
            </w:r>
          </w:p>
        </w:tc>
        <w:tc>
          <w:tcPr>
            <w:tcW w:type="dxa" w:w="1000"/>
            <w:gridSpan w:val="1"/>
            <w:tcBorders>
              <w:top w:val="single" w:color="CCCCCC" w:sz="4"/>
              <w:left w:val="single" w:color="CCCCCC" w:sz="4"/>
              <w:bottom w:val="single" w:color="CCCCCC" w:sz="4"/>
              <w:right w:val="single" w:color="CCCCCC" w:sz="4"/>
            </w:tcBorders>
            <w:shd w:fill="F4F6F8" w:val="clear"/>
            <w:tcMar>
              <w:top w:type="dxa" w:w="80"/>
              <w:left w:type="dxa" w:w="140"/>
              <w:bottom w:type="dxa" w:w="80"/>
              <w:right w:type="dxa" w:w="140"/>
            </w:tcMar>
            <w:vAlign w:val="center"/>
          </w:tcPr>
          <w:p>
            <w:pPr>
              <w:spacing w:after="0" w:before="0"/>
            </w:pPr>
            <w:r>
              <w:rPr>
                <w:rFonts w:ascii="Calibri" w:cs="Calibri" w:eastAsia="Calibri" w:hAnsi="Calibri"/>
                <w:b w:val="false"/>
                <w:bCs w:val="false"/>
                <w:color w:val="1A1A1A"/>
                <w:sz w:val="20"/>
                <w:szCs w:val="20"/>
              </w:rPr>
              <w:t xml:space="preserve">1–3</w:t>
            </w:r>
          </w:p>
        </w:tc>
        <w:tc>
          <w:tcPr>
            <w:tcW w:type="dxa" w:w="1400"/>
            <w:gridSpan w:val="1"/>
            <w:tcBorders>
              <w:top w:val="single" w:color="CCCCCC" w:sz="4"/>
              <w:left w:val="single" w:color="CCCCCC" w:sz="4"/>
              <w:bottom w:val="single" w:color="CCCCCC" w:sz="4"/>
              <w:right w:val="single" w:color="CCCCCC" w:sz="4"/>
            </w:tcBorders>
            <w:shd w:fill="F4F6F8" w:val="clear"/>
            <w:tcMar>
              <w:top w:type="dxa" w:w="80"/>
              <w:left w:type="dxa" w:w="140"/>
              <w:bottom w:type="dxa" w:w="80"/>
              <w:right w:type="dxa" w:w="140"/>
            </w:tcMar>
            <w:vAlign w:val="center"/>
          </w:tcPr>
          <w:p>
            <w:pPr>
              <w:spacing w:after="0" w:before="0"/>
            </w:pPr>
            <w:r>
              <w:rPr>
                <w:rFonts w:ascii="Calibri" w:cs="Calibri" w:eastAsia="Calibri" w:hAnsi="Calibri"/>
                <w:b w:val="false"/>
                <w:bCs w:val="false"/>
                <w:color w:val="1A1A1A"/>
                <w:sz w:val="20"/>
                <w:szCs w:val="20"/>
              </w:rPr>
              <w:t xml:space="preserve">No</w:t>
            </w:r>
          </w:p>
        </w:tc>
        <w:tc>
          <w:tcPr>
            <w:tcW w:type="dxa" w:w="1706"/>
            <w:gridSpan w:val="1"/>
            <w:tcBorders>
              <w:top w:val="single" w:color="CCCCCC" w:sz="4"/>
              <w:left w:val="single" w:color="CCCCCC" w:sz="4"/>
              <w:bottom w:val="single" w:color="CCCCCC" w:sz="4"/>
              <w:right w:val="single" w:color="CCCCCC" w:sz="4"/>
            </w:tcBorders>
            <w:shd w:fill="F4F6F8" w:val="clear"/>
            <w:tcMar>
              <w:top w:type="dxa" w:w="80"/>
              <w:left w:type="dxa" w:w="140"/>
              <w:bottom w:type="dxa" w:w="80"/>
              <w:right w:type="dxa" w:w="140"/>
            </w:tcMar>
            <w:vAlign w:val="center"/>
          </w:tcPr>
          <w:p>
            <w:pPr>
              <w:spacing w:after="0" w:before="0"/>
            </w:pPr>
            <w:r>
              <w:rPr>
                <w:rFonts w:ascii="Calibri" w:cs="Calibri" w:eastAsia="Calibri" w:hAnsi="Calibri"/>
                <w:b w:val="false"/>
                <w:bCs w:val="false"/>
                <w:color w:val="1A1A1A"/>
                <w:sz w:val="20"/>
                <w:szCs w:val="20"/>
              </w:rPr>
              <w:t xml:space="preserve">Submit (pending review)</w:t>
            </w:r>
          </w:p>
        </w:tc>
        <w:tc>
          <w:tcPr>
            <w:tcW w:type="dxa" w:w="1800"/>
            <w:gridSpan w:val="1"/>
            <w:tcBorders>
              <w:top w:val="single" w:color="CCCCCC" w:sz="4"/>
              <w:left w:val="single" w:color="CCCCCC" w:sz="4"/>
              <w:bottom w:val="single" w:color="CCCCCC" w:sz="4"/>
              <w:right w:val="single" w:color="CCCCCC" w:sz="4"/>
            </w:tcBorders>
            <w:shd w:fill="F4F6F8" w:val="clear"/>
            <w:tcMar>
              <w:top w:type="dxa" w:w="80"/>
              <w:left w:type="dxa" w:w="140"/>
              <w:bottom w:type="dxa" w:w="80"/>
              <w:right w:type="dxa" w:w="140"/>
            </w:tcMar>
            <w:vAlign w:val="center"/>
          </w:tcPr>
          <w:p>
            <w:pPr>
              <w:spacing w:after="0" w:before="0"/>
            </w:pPr>
            <w:r>
              <w:rPr>
                <w:rFonts w:ascii="Calibri" w:cs="Calibri" w:eastAsia="Calibri" w:hAnsi="Calibri"/>
                <w:b w:val="false"/>
                <w:bCs w:val="false"/>
                <w:color w:val="1A1A1A"/>
                <w:sz w:val="20"/>
                <w:szCs w:val="20"/>
              </w:rPr>
              <w:t xml:space="preserve">No (buddy review)</w:t>
            </w:r>
          </w:p>
        </w:tc>
        <w:tc>
          <w:tcPr>
            <w:tcW w:type="dxa" w:w="1800"/>
            <w:gridSpan w:val="1"/>
            <w:tcBorders>
              <w:top w:val="single" w:color="CCCCCC" w:sz="4"/>
              <w:left w:val="single" w:color="CCCCCC" w:sz="4"/>
              <w:bottom w:val="single" w:color="CCCCCC" w:sz="4"/>
              <w:right w:val="single" w:color="CCCCCC" w:sz="4"/>
            </w:tcBorders>
            <w:shd w:fill="F4F6F8" w:val="clear"/>
            <w:tcMar>
              <w:top w:type="dxa" w:w="80"/>
              <w:left w:type="dxa" w:w="140"/>
              <w:bottom w:type="dxa" w:w="80"/>
              <w:right w:type="dxa" w:w="140"/>
            </w:tcMar>
            <w:vAlign w:val="center"/>
          </w:tcPr>
          <w:p>
            <w:pPr>
              <w:spacing w:after="0" w:before="0"/>
            </w:pPr>
            <w:r>
              <w:rPr>
                <w:rFonts w:ascii="Calibri" w:cs="Calibri" w:eastAsia="Calibri" w:hAnsi="Calibri"/>
                <w:b w:val="false"/>
                <w:bCs w:val="false"/>
                <w:color w:val="1A1A1A"/>
                <w:sz w:val="20"/>
                <w:szCs w:val="20"/>
              </w:rPr>
              <w:t xml:space="preserve">No</w:t>
            </w:r>
          </w:p>
        </w:tc>
      </w:tr>
      <w:tr>
        <w:tc>
          <w:tcPr>
            <w:tcW w:type="dxa" w:w="180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after="0" w:before="0"/>
            </w:pPr>
            <w:r>
              <w:rPr>
                <w:rFonts w:ascii="Calibri" w:cs="Calibri" w:eastAsia="Calibri" w:hAnsi="Calibri"/>
                <w:b w:val="false"/>
                <w:bCs w:val="false"/>
                <w:color w:val="1A1A1A"/>
                <w:sz w:val="20"/>
                <w:szCs w:val="20"/>
              </w:rPr>
              <w:t xml:space="preserve">Developer</w:t>
            </w:r>
          </w:p>
        </w:tc>
        <w:tc>
          <w:tcPr>
            <w:tcW w:type="dxa" w:w="100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after="0" w:before="0"/>
            </w:pPr>
            <w:r>
              <w:rPr>
                <w:rFonts w:ascii="Calibri" w:cs="Calibri" w:eastAsia="Calibri" w:hAnsi="Calibri"/>
                <w:b w:val="false"/>
                <w:bCs w:val="false"/>
                <w:color w:val="1A1A1A"/>
                <w:sz w:val="20"/>
                <w:szCs w:val="20"/>
              </w:rPr>
              <w:t xml:space="preserve">1–3</w:t>
            </w:r>
          </w:p>
        </w:tc>
        <w:tc>
          <w:tcPr>
            <w:tcW w:type="dxa" w:w="140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after="0" w:before="0"/>
            </w:pPr>
            <w:r>
              <w:rPr>
                <w:rFonts w:ascii="Calibri" w:cs="Calibri" w:eastAsia="Calibri" w:hAnsi="Calibri"/>
                <w:b w:val="false"/>
                <w:bCs w:val="false"/>
                <w:color w:val="1A1A1A"/>
                <w:sz w:val="20"/>
                <w:szCs w:val="20"/>
              </w:rPr>
              <w:t xml:space="preserve">Tier 4 w/ TL approval</w:t>
            </w:r>
          </w:p>
        </w:tc>
        <w:tc>
          <w:tcPr>
            <w:tcW w:type="dxa" w:w="1706"/>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after="0" w:before="0"/>
            </w:pPr>
            <w:r>
              <w:rPr>
                <w:rFonts w:ascii="Calibri" w:cs="Calibri" w:eastAsia="Calibri" w:hAnsi="Calibri"/>
                <w:b w:val="false"/>
                <w:bCs w:val="false"/>
                <w:color w:val="1A1A1A"/>
                <w:sz w:val="20"/>
                <w:szCs w:val="20"/>
              </w:rPr>
              <w:t xml:space="preserve">Yes</w:t>
            </w:r>
          </w:p>
        </w:tc>
        <w:tc>
          <w:tcPr>
            <w:tcW w:type="dxa" w:w="180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after="0" w:before="0"/>
            </w:pPr>
            <w:r>
              <w:rPr>
                <w:rFonts w:ascii="Calibri" w:cs="Calibri" w:eastAsia="Calibri" w:hAnsi="Calibri"/>
                <w:b w:val="false"/>
                <w:bCs w:val="false"/>
                <w:color w:val="1A1A1A"/>
                <w:sz w:val="20"/>
                <w:szCs w:val="20"/>
              </w:rPr>
              <w:t xml:space="preserve">Yes</w:t>
            </w:r>
          </w:p>
        </w:tc>
        <w:tc>
          <w:tcPr>
            <w:tcW w:type="dxa" w:w="180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after="0" w:before="0"/>
            </w:pPr>
            <w:r>
              <w:rPr>
                <w:rFonts w:ascii="Calibri" w:cs="Calibri" w:eastAsia="Calibri" w:hAnsi="Calibri"/>
                <w:b w:val="false"/>
                <w:bCs w:val="false"/>
                <w:color w:val="1A1A1A"/>
                <w:sz w:val="20"/>
                <w:szCs w:val="20"/>
              </w:rPr>
              <w:t xml:space="preserve">No</w:t>
            </w:r>
          </w:p>
        </w:tc>
      </w:tr>
      <w:tr>
        <w:tc>
          <w:tcPr>
            <w:tcW w:type="dxa" w:w="1800"/>
            <w:gridSpan w:val="1"/>
            <w:tcBorders>
              <w:top w:val="single" w:color="CCCCCC" w:sz="4"/>
              <w:left w:val="single" w:color="CCCCCC" w:sz="4"/>
              <w:bottom w:val="single" w:color="CCCCCC" w:sz="4"/>
              <w:right w:val="single" w:color="CCCCCC" w:sz="4"/>
            </w:tcBorders>
            <w:shd w:fill="F4F6F8" w:val="clear"/>
            <w:tcMar>
              <w:top w:type="dxa" w:w="80"/>
              <w:left w:type="dxa" w:w="140"/>
              <w:bottom w:type="dxa" w:w="80"/>
              <w:right w:type="dxa" w:w="140"/>
            </w:tcMar>
            <w:vAlign w:val="center"/>
          </w:tcPr>
          <w:p>
            <w:pPr>
              <w:spacing w:after="0" w:before="0"/>
            </w:pPr>
            <w:r>
              <w:rPr>
                <w:rFonts w:ascii="Calibri" w:cs="Calibri" w:eastAsia="Calibri" w:hAnsi="Calibri"/>
                <w:b w:val="false"/>
                <w:bCs w:val="false"/>
                <w:color w:val="1A1A1A"/>
                <w:sz w:val="20"/>
                <w:szCs w:val="20"/>
              </w:rPr>
              <w:t xml:space="preserve">Senior Developer</w:t>
            </w:r>
          </w:p>
        </w:tc>
        <w:tc>
          <w:tcPr>
            <w:tcW w:type="dxa" w:w="1000"/>
            <w:gridSpan w:val="1"/>
            <w:tcBorders>
              <w:top w:val="single" w:color="CCCCCC" w:sz="4"/>
              <w:left w:val="single" w:color="CCCCCC" w:sz="4"/>
              <w:bottom w:val="single" w:color="CCCCCC" w:sz="4"/>
              <w:right w:val="single" w:color="CCCCCC" w:sz="4"/>
            </w:tcBorders>
            <w:shd w:fill="F4F6F8" w:val="clear"/>
            <w:tcMar>
              <w:top w:type="dxa" w:w="80"/>
              <w:left w:type="dxa" w:w="140"/>
              <w:bottom w:type="dxa" w:w="80"/>
              <w:right w:type="dxa" w:w="140"/>
            </w:tcMar>
            <w:vAlign w:val="center"/>
          </w:tcPr>
          <w:p>
            <w:pPr>
              <w:spacing w:after="0" w:before="0"/>
            </w:pPr>
            <w:r>
              <w:rPr>
                <w:rFonts w:ascii="Calibri" w:cs="Calibri" w:eastAsia="Calibri" w:hAnsi="Calibri"/>
                <w:b w:val="false"/>
                <w:bCs w:val="false"/>
                <w:color w:val="1A1A1A"/>
                <w:sz w:val="20"/>
                <w:szCs w:val="20"/>
              </w:rPr>
              <w:t xml:space="preserve">1–4</w:t>
            </w:r>
          </w:p>
        </w:tc>
        <w:tc>
          <w:tcPr>
            <w:tcW w:type="dxa" w:w="1400"/>
            <w:gridSpan w:val="1"/>
            <w:tcBorders>
              <w:top w:val="single" w:color="CCCCCC" w:sz="4"/>
              <w:left w:val="single" w:color="CCCCCC" w:sz="4"/>
              <w:bottom w:val="single" w:color="CCCCCC" w:sz="4"/>
              <w:right w:val="single" w:color="CCCCCC" w:sz="4"/>
            </w:tcBorders>
            <w:shd w:fill="F4F6F8" w:val="clear"/>
            <w:tcMar>
              <w:top w:type="dxa" w:w="80"/>
              <w:left w:type="dxa" w:w="140"/>
              <w:bottom w:type="dxa" w:w="80"/>
              <w:right w:type="dxa" w:w="140"/>
            </w:tcMar>
            <w:vAlign w:val="center"/>
          </w:tcPr>
          <w:p>
            <w:pPr>
              <w:spacing w:after="0" w:before="0"/>
            </w:pPr>
            <w:r>
              <w:rPr>
                <w:rFonts w:ascii="Calibri" w:cs="Calibri" w:eastAsia="Calibri" w:hAnsi="Calibri"/>
                <w:b w:val="false"/>
                <w:bCs w:val="false"/>
                <w:color w:val="1A1A1A"/>
                <w:sz w:val="20"/>
                <w:szCs w:val="20"/>
              </w:rPr>
              <w:t xml:space="preserve">Yes (Tier 4)</w:t>
            </w:r>
          </w:p>
        </w:tc>
        <w:tc>
          <w:tcPr>
            <w:tcW w:type="dxa" w:w="1706"/>
            <w:gridSpan w:val="1"/>
            <w:tcBorders>
              <w:top w:val="single" w:color="CCCCCC" w:sz="4"/>
              <w:left w:val="single" w:color="CCCCCC" w:sz="4"/>
              <w:bottom w:val="single" w:color="CCCCCC" w:sz="4"/>
              <w:right w:val="single" w:color="CCCCCC" w:sz="4"/>
            </w:tcBorders>
            <w:shd w:fill="F4F6F8" w:val="clear"/>
            <w:tcMar>
              <w:top w:type="dxa" w:w="80"/>
              <w:left w:type="dxa" w:w="140"/>
              <w:bottom w:type="dxa" w:w="80"/>
              <w:right w:type="dxa" w:w="140"/>
            </w:tcMar>
            <w:vAlign w:val="center"/>
          </w:tcPr>
          <w:p>
            <w:pPr>
              <w:spacing w:after="0" w:before="0"/>
            </w:pPr>
            <w:r>
              <w:rPr>
                <w:rFonts w:ascii="Calibri" w:cs="Calibri" w:eastAsia="Calibri" w:hAnsi="Calibri"/>
                <w:b w:val="false"/>
                <w:bCs w:val="false"/>
                <w:color w:val="1A1A1A"/>
                <w:sz w:val="20"/>
                <w:szCs w:val="20"/>
              </w:rPr>
              <w:t xml:space="preserve">Yes</w:t>
            </w:r>
          </w:p>
        </w:tc>
        <w:tc>
          <w:tcPr>
            <w:tcW w:type="dxa" w:w="1800"/>
            <w:gridSpan w:val="1"/>
            <w:tcBorders>
              <w:top w:val="single" w:color="CCCCCC" w:sz="4"/>
              <w:left w:val="single" w:color="CCCCCC" w:sz="4"/>
              <w:bottom w:val="single" w:color="CCCCCC" w:sz="4"/>
              <w:right w:val="single" w:color="CCCCCC" w:sz="4"/>
            </w:tcBorders>
            <w:shd w:fill="F4F6F8" w:val="clear"/>
            <w:tcMar>
              <w:top w:type="dxa" w:w="80"/>
              <w:left w:type="dxa" w:w="140"/>
              <w:bottom w:type="dxa" w:w="80"/>
              <w:right w:type="dxa" w:w="140"/>
            </w:tcMar>
            <w:vAlign w:val="center"/>
          </w:tcPr>
          <w:p>
            <w:pPr>
              <w:spacing w:after="0" w:before="0"/>
            </w:pPr>
            <w:r>
              <w:rPr>
                <w:rFonts w:ascii="Calibri" w:cs="Calibri" w:eastAsia="Calibri" w:hAnsi="Calibri"/>
                <w:b w:val="false"/>
                <w:bCs w:val="false"/>
                <w:color w:val="1A1A1A"/>
                <w:sz w:val="20"/>
                <w:szCs w:val="20"/>
              </w:rPr>
              <w:t xml:space="preserve">Yes + AI PRs</w:t>
            </w:r>
          </w:p>
        </w:tc>
        <w:tc>
          <w:tcPr>
            <w:tcW w:type="dxa" w:w="1800"/>
            <w:gridSpan w:val="1"/>
            <w:tcBorders>
              <w:top w:val="single" w:color="CCCCCC" w:sz="4"/>
              <w:left w:val="single" w:color="CCCCCC" w:sz="4"/>
              <w:bottom w:val="single" w:color="CCCCCC" w:sz="4"/>
              <w:right w:val="single" w:color="CCCCCC" w:sz="4"/>
            </w:tcBorders>
            <w:shd w:fill="F4F6F8" w:val="clear"/>
            <w:tcMar>
              <w:top w:type="dxa" w:w="80"/>
              <w:left w:type="dxa" w:w="140"/>
              <w:bottom w:type="dxa" w:w="80"/>
              <w:right w:type="dxa" w:w="140"/>
            </w:tcMar>
            <w:vAlign w:val="center"/>
          </w:tcPr>
          <w:p>
            <w:pPr>
              <w:spacing w:after="0" w:before="0"/>
            </w:pPr>
            <w:r>
              <w:rPr>
                <w:rFonts w:ascii="Calibri" w:cs="Calibri" w:eastAsia="Calibri" w:hAnsi="Calibri"/>
                <w:b w:val="false"/>
                <w:bCs w:val="false"/>
                <w:color w:val="1A1A1A"/>
                <w:sz w:val="20"/>
                <w:szCs w:val="20"/>
              </w:rPr>
              <w:t xml:space="preserve">Staging only</w:t>
            </w:r>
          </w:p>
        </w:tc>
      </w:tr>
      <w:tr>
        <w:tc>
          <w:tcPr>
            <w:tcW w:type="dxa" w:w="180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after="0" w:before="0"/>
            </w:pPr>
            <w:r>
              <w:rPr>
                <w:rFonts w:ascii="Calibri" w:cs="Calibri" w:eastAsia="Calibri" w:hAnsi="Calibri"/>
                <w:b w:val="false"/>
                <w:bCs w:val="false"/>
                <w:color w:val="1A1A1A"/>
                <w:sz w:val="20"/>
                <w:szCs w:val="20"/>
              </w:rPr>
              <w:t xml:space="preserve">Tech Lead</w:t>
            </w:r>
          </w:p>
        </w:tc>
        <w:tc>
          <w:tcPr>
            <w:tcW w:type="dxa" w:w="100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after="0" w:before="0"/>
            </w:pPr>
            <w:r>
              <w:rPr>
                <w:rFonts w:ascii="Calibri" w:cs="Calibri" w:eastAsia="Calibri" w:hAnsi="Calibri"/>
                <w:b w:val="false"/>
                <w:bCs w:val="false"/>
                <w:color w:val="1A1A1A"/>
                <w:sz w:val="20"/>
                <w:szCs w:val="20"/>
              </w:rPr>
              <w:t xml:space="preserve">1–4</w:t>
            </w:r>
          </w:p>
        </w:tc>
        <w:tc>
          <w:tcPr>
            <w:tcW w:type="dxa" w:w="140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after="0" w:before="0"/>
            </w:pPr>
            <w:r>
              <w:rPr>
                <w:rFonts w:ascii="Calibri" w:cs="Calibri" w:eastAsia="Calibri" w:hAnsi="Calibri"/>
                <w:b w:val="false"/>
                <w:bCs w:val="false"/>
                <w:color w:val="1A1A1A"/>
                <w:sz w:val="20"/>
                <w:szCs w:val="20"/>
              </w:rPr>
              <w:t xml:space="preserve">Yes (Tier 4)</w:t>
            </w:r>
          </w:p>
        </w:tc>
        <w:tc>
          <w:tcPr>
            <w:tcW w:type="dxa" w:w="1706"/>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after="0" w:before="0"/>
            </w:pPr>
            <w:r>
              <w:rPr>
                <w:rFonts w:ascii="Calibri" w:cs="Calibri" w:eastAsia="Calibri" w:hAnsi="Calibri"/>
                <w:b w:val="false"/>
                <w:bCs w:val="false"/>
                <w:color w:val="1A1A1A"/>
                <w:sz w:val="20"/>
                <w:szCs w:val="20"/>
              </w:rPr>
              <w:t xml:space="preserve">Self-approve minor</w:t>
            </w:r>
          </w:p>
        </w:tc>
        <w:tc>
          <w:tcPr>
            <w:tcW w:type="dxa" w:w="180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after="0" w:before="0"/>
            </w:pPr>
            <w:r>
              <w:rPr>
                <w:rFonts w:ascii="Calibri" w:cs="Calibri" w:eastAsia="Calibri" w:hAnsi="Calibri"/>
                <w:b w:val="false"/>
                <w:bCs w:val="false"/>
                <w:color w:val="1A1A1A"/>
                <w:sz w:val="20"/>
                <w:szCs w:val="20"/>
              </w:rPr>
              <w:t xml:space="preserve">Final team authority</w:t>
            </w:r>
          </w:p>
        </w:tc>
        <w:tc>
          <w:tcPr>
            <w:tcW w:type="dxa" w:w="180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after="0" w:before="0"/>
            </w:pPr>
            <w:r>
              <w:rPr>
                <w:rFonts w:ascii="Calibri" w:cs="Calibri" w:eastAsia="Calibri" w:hAnsi="Calibri"/>
                <w:b w:val="false"/>
                <w:bCs w:val="false"/>
                <w:color w:val="1A1A1A"/>
                <w:sz w:val="20"/>
                <w:szCs w:val="20"/>
              </w:rPr>
              <w:t xml:space="preserve">Staging only</w:t>
            </w:r>
          </w:p>
        </w:tc>
      </w:tr>
      <w:tr>
        <w:tc>
          <w:tcPr>
            <w:tcW w:type="dxa" w:w="1800"/>
            <w:gridSpan w:val="1"/>
            <w:tcBorders>
              <w:top w:val="single" w:color="CCCCCC" w:sz="4"/>
              <w:left w:val="single" w:color="CCCCCC" w:sz="4"/>
              <w:bottom w:val="single" w:color="CCCCCC" w:sz="4"/>
              <w:right w:val="single" w:color="CCCCCC" w:sz="4"/>
            </w:tcBorders>
            <w:shd w:fill="F4F6F8" w:val="clear"/>
            <w:tcMar>
              <w:top w:type="dxa" w:w="80"/>
              <w:left w:type="dxa" w:w="140"/>
              <w:bottom w:type="dxa" w:w="80"/>
              <w:right w:type="dxa" w:w="140"/>
            </w:tcMar>
            <w:vAlign w:val="center"/>
          </w:tcPr>
          <w:p>
            <w:pPr>
              <w:spacing w:after="0" w:before="0"/>
            </w:pPr>
            <w:r>
              <w:rPr>
                <w:rFonts w:ascii="Calibri" w:cs="Calibri" w:eastAsia="Calibri" w:hAnsi="Calibri"/>
                <w:b w:val="false"/>
                <w:bCs w:val="false"/>
                <w:color w:val="1A1A1A"/>
                <w:sz w:val="20"/>
                <w:szCs w:val="20"/>
              </w:rPr>
              <w:t xml:space="preserve">Staff / Principal</w:t>
            </w:r>
          </w:p>
        </w:tc>
        <w:tc>
          <w:tcPr>
            <w:tcW w:type="dxa" w:w="1000"/>
            <w:gridSpan w:val="1"/>
            <w:tcBorders>
              <w:top w:val="single" w:color="CCCCCC" w:sz="4"/>
              <w:left w:val="single" w:color="CCCCCC" w:sz="4"/>
              <w:bottom w:val="single" w:color="CCCCCC" w:sz="4"/>
              <w:right w:val="single" w:color="CCCCCC" w:sz="4"/>
            </w:tcBorders>
            <w:shd w:fill="F4F6F8" w:val="clear"/>
            <w:tcMar>
              <w:top w:type="dxa" w:w="80"/>
              <w:left w:type="dxa" w:w="140"/>
              <w:bottom w:type="dxa" w:w="80"/>
              <w:right w:type="dxa" w:w="140"/>
            </w:tcMar>
            <w:vAlign w:val="center"/>
          </w:tcPr>
          <w:p>
            <w:pPr>
              <w:spacing w:after="0" w:before="0"/>
            </w:pPr>
            <w:r>
              <w:rPr>
                <w:rFonts w:ascii="Calibri" w:cs="Calibri" w:eastAsia="Calibri" w:hAnsi="Calibri"/>
                <w:b w:val="false"/>
                <w:bCs w:val="false"/>
                <w:color w:val="1A1A1A"/>
                <w:sz w:val="20"/>
                <w:szCs w:val="20"/>
              </w:rPr>
              <w:t xml:space="preserve">1–5</w:t>
            </w:r>
          </w:p>
        </w:tc>
        <w:tc>
          <w:tcPr>
            <w:tcW w:type="dxa" w:w="1400"/>
            <w:gridSpan w:val="1"/>
            <w:tcBorders>
              <w:top w:val="single" w:color="CCCCCC" w:sz="4"/>
              <w:left w:val="single" w:color="CCCCCC" w:sz="4"/>
              <w:bottom w:val="single" w:color="CCCCCC" w:sz="4"/>
              <w:right w:val="single" w:color="CCCCCC" w:sz="4"/>
            </w:tcBorders>
            <w:shd w:fill="F4F6F8" w:val="clear"/>
            <w:tcMar>
              <w:top w:type="dxa" w:w="80"/>
              <w:left w:type="dxa" w:w="140"/>
              <w:bottom w:type="dxa" w:w="80"/>
              <w:right w:type="dxa" w:w="140"/>
            </w:tcMar>
            <w:vAlign w:val="center"/>
          </w:tcPr>
          <w:p>
            <w:pPr>
              <w:spacing w:after="0" w:before="0"/>
            </w:pPr>
            <w:r>
              <w:rPr>
                <w:rFonts w:ascii="Calibri" w:cs="Calibri" w:eastAsia="Calibri" w:hAnsi="Calibri"/>
                <w:b w:val="false"/>
                <w:bCs w:val="false"/>
                <w:color w:val="1A1A1A"/>
                <w:sz w:val="20"/>
                <w:szCs w:val="20"/>
              </w:rPr>
              <w:t xml:space="preserve">Yes</w:t>
            </w:r>
          </w:p>
        </w:tc>
        <w:tc>
          <w:tcPr>
            <w:tcW w:type="dxa" w:w="1706"/>
            <w:gridSpan w:val="1"/>
            <w:tcBorders>
              <w:top w:val="single" w:color="CCCCCC" w:sz="4"/>
              <w:left w:val="single" w:color="CCCCCC" w:sz="4"/>
              <w:bottom w:val="single" w:color="CCCCCC" w:sz="4"/>
              <w:right w:val="single" w:color="CCCCCC" w:sz="4"/>
            </w:tcBorders>
            <w:shd w:fill="F4F6F8" w:val="clear"/>
            <w:tcMar>
              <w:top w:type="dxa" w:w="80"/>
              <w:left w:type="dxa" w:w="140"/>
              <w:bottom w:type="dxa" w:w="80"/>
              <w:right w:type="dxa" w:w="140"/>
            </w:tcMar>
            <w:vAlign w:val="center"/>
          </w:tcPr>
          <w:p>
            <w:pPr>
              <w:spacing w:after="0" w:before="0"/>
            </w:pPr>
            <w:r>
              <w:rPr>
                <w:rFonts w:ascii="Calibri" w:cs="Calibri" w:eastAsia="Calibri" w:hAnsi="Calibri"/>
                <w:b w:val="false"/>
                <w:bCs w:val="false"/>
                <w:color w:val="1A1A1A"/>
                <w:sz w:val="20"/>
                <w:szCs w:val="20"/>
              </w:rPr>
              <w:t xml:space="preserve">Self-approve</w:t>
            </w:r>
          </w:p>
        </w:tc>
        <w:tc>
          <w:tcPr>
            <w:tcW w:type="dxa" w:w="1800"/>
            <w:gridSpan w:val="1"/>
            <w:tcBorders>
              <w:top w:val="single" w:color="CCCCCC" w:sz="4"/>
              <w:left w:val="single" w:color="CCCCCC" w:sz="4"/>
              <w:bottom w:val="single" w:color="CCCCCC" w:sz="4"/>
              <w:right w:val="single" w:color="CCCCCC" w:sz="4"/>
            </w:tcBorders>
            <w:shd w:fill="F4F6F8" w:val="clear"/>
            <w:tcMar>
              <w:top w:type="dxa" w:w="80"/>
              <w:left w:type="dxa" w:w="140"/>
              <w:bottom w:type="dxa" w:w="80"/>
              <w:right w:type="dxa" w:w="140"/>
            </w:tcMar>
            <w:vAlign w:val="center"/>
          </w:tcPr>
          <w:p>
            <w:pPr>
              <w:spacing w:after="0" w:before="0"/>
            </w:pPr>
            <w:r>
              <w:rPr>
                <w:rFonts w:ascii="Calibri" w:cs="Calibri" w:eastAsia="Calibri" w:hAnsi="Calibri"/>
                <w:b w:val="false"/>
                <w:bCs w:val="false"/>
                <w:color w:val="1A1A1A"/>
                <w:sz w:val="20"/>
                <w:szCs w:val="20"/>
              </w:rPr>
              <w:t xml:space="preserve">Yes + platform</w:t>
            </w:r>
          </w:p>
        </w:tc>
        <w:tc>
          <w:tcPr>
            <w:tcW w:type="dxa" w:w="1800"/>
            <w:gridSpan w:val="1"/>
            <w:tcBorders>
              <w:top w:val="single" w:color="CCCCCC" w:sz="4"/>
              <w:left w:val="single" w:color="CCCCCC" w:sz="4"/>
              <w:bottom w:val="single" w:color="CCCCCC" w:sz="4"/>
              <w:right w:val="single" w:color="CCCCCC" w:sz="4"/>
            </w:tcBorders>
            <w:shd w:fill="F4F6F8" w:val="clear"/>
            <w:tcMar>
              <w:top w:type="dxa" w:w="80"/>
              <w:left w:type="dxa" w:w="140"/>
              <w:bottom w:type="dxa" w:w="80"/>
              <w:right w:type="dxa" w:w="140"/>
            </w:tcMar>
            <w:vAlign w:val="center"/>
          </w:tcPr>
          <w:p>
            <w:pPr>
              <w:spacing w:after="0" w:before="0"/>
            </w:pPr>
            <w:r>
              <w:rPr>
                <w:rFonts w:ascii="Calibri" w:cs="Calibri" w:eastAsia="Calibri" w:hAnsi="Calibri"/>
                <w:b w:val="false"/>
                <w:bCs w:val="false"/>
                <w:color w:val="1A1A1A"/>
                <w:sz w:val="20"/>
                <w:szCs w:val="20"/>
              </w:rPr>
              <w:t xml:space="preserve">Staging + Prod</w:t>
            </w:r>
          </w:p>
        </w:tc>
      </w:tr>
      <w:tr>
        <w:tc>
          <w:tcPr>
            <w:tcW w:type="dxa" w:w="180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after="0" w:before="0"/>
            </w:pPr>
            <w:r>
              <w:rPr>
                <w:rFonts w:ascii="Calibri" w:cs="Calibri" w:eastAsia="Calibri" w:hAnsi="Calibri"/>
                <w:b w:val="false"/>
                <w:bCs w:val="false"/>
                <w:color w:val="1A1A1A"/>
                <w:sz w:val="20"/>
                <w:szCs w:val="20"/>
              </w:rPr>
              <w:t xml:space="preserve">Architect</w:t>
            </w:r>
          </w:p>
        </w:tc>
        <w:tc>
          <w:tcPr>
            <w:tcW w:type="dxa" w:w="100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after="0" w:before="0"/>
            </w:pPr>
            <w:r>
              <w:rPr>
                <w:rFonts w:ascii="Calibri" w:cs="Calibri" w:eastAsia="Calibri" w:hAnsi="Calibri"/>
                <w:b w:val="false"/>
                <w:bCs w:val="false"/>
                <w:color w:val="1A1A1A"/>
                <w:sz w:val="20"/>
                <w:szCs w:val="20"/>
              </w:rPr>
              <w:t xml:space="preserve">1–5</w:t>
            </w:r>
          </w:p>
        </w:tc>
        <w:tc>
          <w:tcPr>
            <w:tcW w:type="dxa" w:w="140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after="0" w:before="0"/>
            </w:pPr>
            <w:r>
              <w:rPr>
                <w:rFonts w:ascii="Calibri" w:cs="Calibri" w:eastAsia="Calibri" w:hAnsi="Calibri"/>
                <w:b w:val="false"/>
                <w:bCs w:val="false"/>
                <w:color w:val="1A1A1A"/>
                <w:sz w:val="20"/>
                <w:szCs w:val="20"/>
              </w:rPr>
              <w:t xml:space="preserve">Yes</w:t>
            </w:r>
          </w:p>
        </w:tc>
        <w:tc>
          <w:tcPr>
            <w:tcW w:type="dxa" w:w="1706"/>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after="0" w:before="0"/>
            </w:pPr>
            <w:r>
              <w:rPr>
                <w:rFonts w:ascii="Calibri" w:cs="Calibri" w:eastAsia="Calibri" w:hAnsi="Calibri"/>
                <w:b w:val="false"/>
                <w:bCs w:val="false"/>
                <w:color w:val="1A1A1A"/>
                <w:sz w:val="20"/>
                <w:szCs w:val="20"/>
              </w:rPr>
              <w:t xml:space="preserve">Self-approve</w:t>
            </w:r>
          </w:p>
        </w:tc>
        <w:tc>
          <w:tcPr>
            <w:tcW w:type="dxa" w:w="180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after="0" w:before="0"/>
            </w:pPr>
            <w:r>
              <w:rPr>
                <w:rFonts w:ascii="Calibri" w:cs="Calibri" w:eastAsia="Calibri" w:hAnsi="Calibri"/>
                <w:b w:val="false"/>
                <w:bCs w:val="false"/>
                <w:color w:val="1A1A1A"/>
                <w:sz w:val="20"/>
                <w:szCs w:val="20"/>
              </w:rPr>
              <w:t xml:space="preserve">Architecture final</w:t>
            </w:r>
          </w:p>
        </w:tc>
        <w:tc>
          <w:tcPr>
            <w:tcW w:type="dxa" w:w="180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after="0" w:before="0"/>
            </w:pPr>
            <w:r>
              <w:rPr>
                <w:rFonts w:ascii="Calibri" w:cs="Calibri" w:eastAsia="Calibri" w:hAnsi="Calibri"/>
                <w:b w:val="false"/>
                <w:bCs w:val="false"/>
                <w:color w:val="1A1A1A"/>
                <w:sz w:val="20"/>
                <w:szCs w:val="20"/>
              </w:rPr>
              <w:t xml:space="preserve">Yes</w:t>
            </w:r>
          </w:p>
        </w:tc>
      </w:tr>
      <w:tr>
        <w:tc>
          <w:tcPr>
            <w:tcW w:type="dxa" w:w="1800"/>
            <w:gridSpan w:val="1"/>
            <w:tcBorders>
              <w:top w:val="single" w:color="CCCCCC" w:sz="4"/>
              <w:left w:val="single" w:color="CCCCCC" w:sz="4"/>
              <w:bottom w:val="single" w:color="CCCCCC" w:sz="4"/>
              <w:right w:val="single" w:color="CCCCCC" w:sz="4"/>
            </w:tcBorders>
            <w:shd w:fill="F4F6F8" w:val="clear"/>
            <w:tcMar>
              <w:top w:type="dxa" w:w="80"/>
              <w:left w:type="dxa" w:w="140"/>
              <w:bottom w:type="dxa" w:w="80"/>
              <w:right w:type="dxa" w:w="140"/>
            </w:tcMar>
            <w:vAlign w:val="center"/>
          </w:tcPr>
          <w:p>
            <w:pPr>
              <w:spacing w:after="0" w:before="0"/>
            </w:pPr>
            <w:r>
              <w:rPr>
                <w:rFonts w:ascii="Calibri" w:cs="Calibri" w:eastAsia="Calibri" w:hAnsi="Calibri"/>
                <w:b w:val="false"/>
                <w:bCs w:val="false"/>
                <w:color w:val="1A1A1A"/>
                <w:sz w:val="20"/>
                <w:szCs w:val="20"/>
              </w:rPr>
              <w:t xml:space="preserve">CTO / VP Eng</w:t>
            </w:r>
          </w:p>
        </w:tc>
        <w:tc>
          <w:tcPr>
            <w:tcW w:type="dxa" w:w="1000"/>
            <w:gridSpan w:val="1"/>
            <w:tcBorders>
              <w:top w:val="single" w:color="CCCCCC" w:sz="4"/>
              <w:left w:val="single" w:color="CCCCCC" w:sz="4"/>
              <w:bottom w:val="single" w:color="CCCCCC" w:sz="4"/>
              <w:right w:val="single" w:color="CCCCCC" w:sz="4"/>
            </w:tcBorders>
            <w:shd w:fill="F4F6F8" w:val="clear"/>
            <w:tcMar>
              <w:top w:type="dxa" w:w="80"/>
              <w:left w:type="dxa" w:w="140"/>
              <w:bottom w:type="dxa" w:w="80"/>
              <w:right w:type="dxa" w:w="140"/>
            </w:tcMar>
            <w:vAlign w:val="center"/>
          </w:tcPr>
          <w:p>
            <w:pPr>
              <w:spacing w:after="0" w:before="0"/>
            </w:pPr>
            <w:r>
              <w:rPr>
                <w:rFonts w:ascii="Calibri" w:cs="Calibri" w:eastAsia="Calibri" w:hAnsi="Calibri"/>
                <w:b w:val="false"/>
                <w:bCs w:val="false"/>
                <w:color w:val="1A1A1A"/>
                <w:sz w:val="20"/>
                <w:szCs w:val="20"/>
              </w:rPr>
              <w:t xml:space="preserve">1–5</w:t>
            </w:r>
          </w:p>
        </w:tc>
        <w:tc>
          <w:tcPr>
            <w:tcW w:type="dxa" w:w="1400"/>
            <w:gridSpan w:val="1"/>
            <w:tcBorders>
              <w:top w:val="single" w:color="CCCCCC" w:sz="4"/>
              <w:left w:val="single" w:color="CCCCCC" w:sz="4"/>
              <w:bottom w:val="single" w:color="CCCCCC" w:sz="4"/>
              <w:right w:val="single" w:color="CCCCCC" w:sz="4"/>
            </w:tcBorders>
            <w:shd w:fill="F4F6F8" w:val="clear"/>
            <w:tcMar>
              <w:top w:type="dxa" w:w="80"/>
              <w:left w:type="dxa" w:w="140"/>
              <w:bottom w:type="dxa" w:w="80"/>
              <w:right w:type="dxa" w:w="140"/>
            </w:tcMar>
            <w:vAlign w:val="center"/>
          </w:tcPr>
          <w:p>
            <w:pPr>
              <w:spacing w:after="0" w:before="0"/>
            </w:pPr>
            <w:r>
              <w:rPr>
                <w:rFonts w:ascii="Calibri" w:cs="Calibri" w:eastAsia="Calibri" w:hAnsi="Calibri"/>
                <w:b w:val="false"/>
                <w:bCs w:val="false"/>
                <w:color w:val="1A1A1A"/>
                <w:sz w:val="20"/>
                <w:szCs w:val="20"/>
              </w:rPr>
              <w:t xml:space="preserve">Yes</w:t>
            </w:r>
          </w:p>
        </w:tc>
        <w:tc>
          <w:tcPr>
            <w:tcW w:type="dxa" w:w="1706"/>
            <w:gridSpan w:val="1"/>
            <w:tcBorders>
              <w:top w:val="single" w:color="CCCCCC" w:sz="4"/>
              <w:left w:val="single" w:color="CCCCCC" w:sz="4"/>
              <w:bottom w:val="single" w:color="CCCCCC" w:sz="4"/>
              <w:right w:val="single" w:color="CCCCCC" w:sz="4"/>
            </w:tcBorders>
            <w:shd w:fill="F4F6F8" w:val="clear"/>
            <w:tcMar>
              <w:top w:type="dxa" w:w="80"/>
              <w:left w:type="dxa" w:w="140"/>
              <w:bottom w:type="dxa" w:w="80"/>
              <w:right w:type="dxa" w:w="140"/>
            </w:tcMar>
            <w:vAlign w:val="center"/>
          </w:tcPr>
          <w:p>
            <w:pPr>
              <w:spacing w:after="0" w:before="0"/>
            </w:pPr>
            <w:r>
              <w:rPr>
                <w:rFonts w:ascii="Calibri" w:cs="Calibri" w:eastAsia="Calibri" w:hAnsi="Calibri"/>
                <w:b w:val="false"/>
                <w:bCs w:val="false"/>
                <w:color w:val="1A1A1A"/>
                <w:sz w:val="20"/>
                <w:szCs w:val="20"/>
              </w:rPr>
              <w:t xml:space="preserve">Framework governance</w:t>
            </w:r>
          </w:p>
        </w:tc>
        <w:tc>
          <w:tcPr>
            <w:tcW w:type="dxa" w:w="1800"/>
            <w:gridSpan w:val="1"/>
            <w:tcBorders>
              <w:top w:val="single" w:color="CCCCCC" w:sz="4"/>
              <w:left w:val="single" w:color="CCCCCC" w:sz="4"/>
              <w:bottom w:val="single" w:color="CCCCCC" w:sz="4"/>
              <w:right w:val="single" w:color="CCCCCC" w:sz="4"/>
            </w:tcBorders>
            <w:shd w:fill="F4F6F8" w:val="clear"/>
            <w:tcMar>
              <w:top w:type="dxa" w:w="80"/>
              <w:left w:type="dxa" w:w="140"/>
              <w:bottom w:type="dxa" w:w="80"/>
              <w:right w:type="dxa" w:w="140"/>
            </w:tcMar>
            <w:vAlign w:val="center"/>
          </w:tcPr>
          <w:p>
            <w:pPr>
              <w:spacing w:after="0" w:before="0"/>
            </w:pPr>
            <w:r>
              <w:rPr>
                <w:rFonts w:ascii="Calibri" w:cs="Calibri" w:eastAsia="Calibri" w:hAnsi="Calibri"/>
                <w:b w:val="false"/>
                <w:bCs w:val="false"/>
                <w:color w:val="1A1A1A"/>
                <w:sz w:val="20"/>
                <w:szCs w:val="20"/>
              </w:rPr>
              <w:t xml:space="preserve">Yes</w:t>
            </w:r>
          </w:p>
        </w:tc>
        <w:tc>
          <w:tcPr>
            <w:tcW w:type="dxa" w:w="1800"/>
            <w:gridSpan w:val="1"/>
            <w:tcBorders>
              <w:top w:val="single" w:color="CCCCCC" w:sz="4"/>
              <w:left w:val="single" w:color="CCCCCC" w:sz="4"/>
              <w:bottom w:val="single" w:color="CCCCCC" w:sz="4"/>
              <w:right w:val="single" w:color="CCCCCC" w:sz="4"/>
            </w:tcBorders>
            <w:shd w:fill="F4F6F8" w:val="clear"/>
            <w:tcMar>
              <w:top w:type="dxa" w:w="80"/>
              <w:left w:type="dxa" w:w="140"/>
              <w:bottom w:type="dxa" w:w="80"/>
              <w:right w:type="dxa" w:w="140"/>
            </w:tcMar>
            <w:vAlign w:val="center"/>
          </w:tcPr>
          <w:p>
            <w:pPr>
              <w:spacing w:after="0" w:before="0"/>
            </w:pPr>
            <w:r>
              <w:rPr>
                <w:rFonts w:ascii="Calibri" w:cs="Calibri" w:eastAsia="Calibri" w:hAnsi="Calibri"/>
                <w:b w:val="false"/>
                <w:bCs w:val="false"/>
                <w:color w:val="1A1A1A"/>
                <w:sz w:val="20"/>
                <w:szCs w:val="20"/>
              </w:rPr>
              <w:t xml:space="preserve">All envs</w:t>
            </w:r>
          </w:p>
        </w:tc>
      </w:tr>
      <w:tr>
        <w:tc>
          <w:tcPr>
            <w:tcW w:type="dxa" w:w="180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after="0" w:before="0"/>
            </w:pPr>
            <w:r>
              <w:rPr>
                <w:rFonts w:ascii="Calibri" w:cs="Calibri" w:eastAsia="Calibri" w:hAnsi="Calibri"/>
                <w:b w:val="false"/>
                <w:bCs w:val="false"/>
                <w:color w:val="1A1A1A"/>
                <w:sz w:val="20"/>
                <w:szCs w:val="20"/>
              </w:rPr>
              <w:t xml:space="preserve">Security Team</w:t>
            </w:r>
          </w:p>
        </w:tc>
        <w:tc>
          <w:tcPr>
            <w:tcW w:type="dxa" w:w="100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after="0" w:before="0"/>
            </w:pPr>
            <w:r>
              <w:rPr>
                <w:rFonts w:ascii="Calibri" w:cs="Calibri" w:eastAsia="Calibri" w:hAnsi="Calibri"/>
                <w:b w:val="false"/>
                <w:bCs w:val="false"/>
                <w:color w:val="1A1A1A"/>
                <w:sz w:val="20"/>
                <w:szCs w:val="20"/>
              </w:rPr>
              <w:t xml:space="preserve">1–5</w:t>
            </w:r>
          </w:p>
        </w:tc>
        <w:tc>
          <w:tcPr>
            <w:tcW w:type="dxa" w:w="140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after="0" w:before="0"/>
            </w:pPr>
            <w:r>
              <w:rPr>
                <w:rFonts w:ascii="Calibri" w:cs="Calibri" w:eastAsia="Calibri" w:hAnsi="Calibri"/>
                <w:b w:val="false"/>
                <w:bCs w:val="false"/>
                <w:color w:val="1A1A1A"/>
                <w:sz w:val="20"/>
                <w:szCs w:val="20"/>
              </w:rPr>
              <w:t xml:space="preserve">Security scope</w:t>
            </w:r>
          </w:p>
        </w:tc>
        <w:tc>
          <w:tcPr>
            <w:tcW w:type="dxa" w:w="1706"/>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after="0" w:before="0"/>
            </w:pPr>
            <w:r>
              <w:rPr>
                <w:rFonts w:ascii="Calibri" w:cs="Calibri" w:eastAsia="Calibri" w:hAnsi="Calibri"/>
                <w:b w:val="false"/>
                <w:bCs w:val="false"/>
                <w:color w:val="1A1A1A"/>
                <w:sz w:val="20"/>
                <w:szCs w:val="20"/>
              </w:rPr>
              <w:t xml:space="preserve">Gate owners</w:t>
            </w:r>
          </w:p>
        </w:tc>
        <w:tc>
          <w:tcPr>
            <w:tcW w:type="dxa" w:w="180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after="0" w:before="0"/>
            </w:pPr>
            <w:r>
              <w:rPr>
                <w:rFonts w:ascii="Calibri" w:cs="Calibri" w:eastAsia="Calibri" w:hAnsi="Calibri"/>
                <w:b w:val="false"/>
                <w:bCs w:val="false"/>
                <w:color w:val="1A1A1A"/>
                <w:sz w:val="20"/>
                <w:szCs w:val="20"/>
              </w:rPr>
              <w:t xml:space="preserve">Security gate owners</w:t>
            </w:r>
          </w:p>
        </w:tc>
        <w:tc>
          <w:tcPr>
            <w:tcW w:type="dxa" w:w="180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after="0" w:before="0"/>
            </w:pPr>
            <w:r>
              <w:rPr>
                <w:rFonts w:ascii="Calibri" w:cs="Calibri" w:eastAsia="Calibri" w:hAnsi="Calibri"/>
                <w:b w:val="false"/>
                <w:bCs w:val="false"/>
                <w:color w:val="1A1A1A"/>
                <w:sz w:val="20"/>
                <w:szCs w:val="20"/>
              </w:rPr>
              <w:t xml:space="preserve">Review only</w:t>
            </w:r>
          </w:p>
        </w:tc>
      </w:tr>
    </w:tbl>
    <w:p>
      <w:pPr>
        <w:spacing w:after="0" w:before="160"/>
      </w:pPr>
    </w:p>
    <w:p>
      <w:pPr>
        <w:spacing w:after="120" w:before="80" w:line="320"/>
        <w:jc w:val="both"/>
      </w:pPr>
      <w:r>
        <w:rPr>
          <w:rFonts w:ascii="Georgia" w:cs="Georgia" w:eastAsia="Georgia" w:hAnsi="Georgia"/>
          <w:color w:val="1A1A1A"/>
          <w:sz w:val="22"/>
          <w:szCs w:val="22"/>
        </w:rPr>
        <w:t xml:space="preserve">Every individual at every level — from intern to CTO — shares three universal responsibilities: never include client PII, production secrets, or confidential data in AI prompts; ensure AI-generated code passes all automated gates before submission; and complete the annual AI Security Training. These obligations are not role-dependent. They are minimum baseline expectations for any member of the organisation who uses AI tooling.</w:t>
      </w:r>
    </w:p>
    <w:p>
      <w:pPr>
        <w:spacing w:after="0" w:before="0"/>
      </w:pPr>
      <w:r>
        <w:br w:type="page"/>
      </w:r>
    </w:p>
    <w:p>
      <w:pPr>
        <w:spacing w:after="0" w:before="240"/>
      </w:pPr>
    </w:p>
    <w:p>
      <w:pPr>
        <w:spacing w:after="60" w:before="0"/>
      </w:pPr>
      <w:r>
        <w:rPr>
          <w:rFonts w:ascii="Calibri" w:cs="Calibri" w:eastAsia="Calibri" w:hAnsi="Calibri"/>
          <w:b/>
          <w:bCs/>
          <w:color w:val="0D6E6E"/>
          <w:sz w:val="13"/>
          <w:szCs w:val="13"/>
        </w:rPr>
        <w:t xml:space="preserve">8  </w:t>
      </w:r>
      <w:r>
        <w:rPr>
          <w:rFonts w:ascii="Calibri" w:cs="Calibri" w:eastAsia="Calibri" w:hAnsi="Calibri"/>
          <w:b/>
          <w:bCs/>
          <w:color w:val="4A4A4A"/>
          <w:sz w:val="13"/>
          <w:szCs w:val="13"/>
        </w:rPr>
        <w:t xml:space="preserve">COMPLIANCE GUARDRAILS BY WORK TYPE</w:t>
      </w:r>
    </w:p>
    <w:p>
      <w:pPr>
        <w:pStyle w:val="Heading1"/>
        <w:pBdr>
          <w:bottom w:val="single" w:color="0D6E6E" w:sz="6"/>
        </w:pBdr>
        <w:shd w:fill="1B2A4A" w:val="clear"/>
        <w:spacing w:after="200" w:before="0"/>
        <w:ind w:left="240" w:right="240"/>
      </w:pPr>
      <w:r>
        <w:rPr>
          <w:rFonts w:ascii="Calibri" w:cs="Calibri" w:eastAsia="Calibri" w:hAnsi="Calibri"/>
          <w:b/>
          <w:bCs/>
          <w:color w:val="FFFFFF"/>
          <w:sz w:val="36"/>
          <w:szCs w:val="36"/>
        </w:rPr>
        <w:t xml:space="preserve">Compliance Guardrails by Work Type</w:t>
      </w:r>
    </w:p>
    <w:p>
      <w:pPr>
        <w:pStyle w:val="Heading2"/>
        <w:pBdr>
          <w:bottom w:val="single" w:color="0D6E6E" w:sz="4" w:space="4"/>
        </w:pBdr>
        <w:spacing w:after="120" w:before="320"/>
      </w:pPr>
      <w:r>
        <w:rPr>
          <w:rFonts w:ascii="Calibri" w:cs="Calibri" w:eastAsia="Calibri" w:hAnsi="Calibri"/>
          <w:b/>
          <w:bCs/>
          <w:color w:val="0D6E6E"/>
          <w:sz w:val="28"/>
          <w:szCs w:val="28"/>
        </w:rPr>
        <w:t xml:space="preserve">8.1  Client Work</w:t>
      </w:r>
    </w:p>
    <w:p>
      <w:pPr>
        <w:spacing w:after="120" w:before="80" w:line="320"/>
        <w:jc w:val="both"/>
      </w:pPr>
      <w:r>
        <w:rPr>
          <w:rFonts w:ascii="Georgia" w:cs="Georgia" w:eastAsia="Georgia" w:hAnsi="Georgia"/>
          <w:color w:val="1A1A1A"/>
          <w:sz w:val="22"/>
          <w:szCs w:val="22"/>
        </w:rPr>
        <w:t xml:space="preserve">Client work carries the highest compliance burden. The Compliance Context File must reflect the client's regulatory requirements, not only the organisation's own standards. AI tools may only be used on client projects where the engagement agreement includes an AI Usage Disclosure clause. No client PII, schema details, API credentials, or system architecture may appear in prompts transmitted to external providers.</w:t>
      </w:r>
    </w:p>
    <w:p>
      <w:pPr>
        <w:spacing w:after="120" w:before="80" w:line="320"/>
        <w:jc w:val="both"/>
      </w:pPr>
      <w:r>
        <w:rPr>
          <w:rFonts w:ascii="Georgia" w:cs="Georgia" w:eastAsia="Georgia" w:hAnsi="Georgia"/>
          <w:color w:val="1A1A1A"/>
          <w:sz w:val="22"/>
          <w:szCs w:val="22"/>
        </w:rPr>
        <w:t xml:space="preserve">For clients under GDPR, all AI tools that process client data in any form must have a Data Sub-Processor Agreement in place. For clients under SOC 2, all AI tool usage on their project is logged and available on request for their audit procedures. Client data must never be used to train or fine-tune any external model — this must be confirmed via the vendor's DPA, not assumed.</w:t>
      </w:r>
    </w:p>
    <w:p>
      <w:pPr>
        <w:pBdr>
          <w:left w:val="single" w:color="0D6E6E" w:sz="16" w:space="8"/>
        </w:pBdr>
        <w:shd w:fill="E8F1F8" w:val="clear"/>
        <w:spacing w:after="160" w:before="160" w:line="320"/>
        <w:ind w:left="360" w:right="360"/>
      </w:pPr>
      <w:r>
        <w:rPr>
          <w:rFonts w:ascii="Georgia" w:cs="Georgia" w:eastAsia="Georgia" w:hAnsi="Georgia"/>
          <w:i/>
          <w:iCs/>
          <w:color w:val="1B2A4A"/>
          <w:sz w:val="22"/>
          <w:szCs w:val="22"/>
        </w:rPr>
        <w:t xml:space="preserve">Recommended addition to Master Services Agreements: "[Company] may utilise AI-assisted development tools in the delivery of Services. Such tools are selected from a pre-approved registry subject to security and compliance review. No Client Confidential Information is transmitted to external AI providers without prior written consent and a valid Data Processing Agreement. All AI-generated deliverables are reviewed and accepted by qualified human personnel before delivery."</w:t>
      </w:r>
    </w:p>
    <w:p>
      <w:pPr>
        <w:pStyle w:val="Heading2"/>
        <w:pBdr>
          <w:bottom w:val="single" w:color="0D6E6E" w:sz="4" w:space="4"/>
        </w:pBdr>
        <w:spacing w:after="120" w:before="320"/>
      </w:pPr>
      <w:r>
        <w:rPr>
          <w:rFonts w:ascii="Calibri" w:cs="Calibri" w:eastAsia="Calibri" w:hAnsi="Calibri"/>
          <w:b/>
          <w:bCs/>
          <w:color w:val="0D6E6E"/>
          <w:sz w:val="28"/>
          <w:szCs w:val="28"/>
        </w:rPr>
        <w:t xml:space="preserve">8.2  Internal Product Development</w:t>
      </w:r>
    </w:p>
    <w:p>
      <w:pPr>
        <w:spacing w:after="120" w:before="80" w:line="320"/>
        <w:jc w:val="both"/>
      </w:pPr>
      <w:r>
        <w:rPr>
          <w:rFonts w:ascii="Georgia" w:cs="Georgia" w:eastAsia="Georgia" w:hAnsi="Georgia"/>
          <w:color w:val="1A1A1A"/>
          <w:sz w:val="22"/>
          <w:szCs w:val="22"/>
        </w:rPr>
        <w:t xml:space="preserve">For companies building proprietary products, the same controls apply with greater flexibility in implementation cadence. Tier 4 agents are available with standard Tech Lead approval. AI-generated Infrastructure as Code may be used in staging and development environments with senior engineer sign-off. The AI-SBOM is mandatory in all repositories, forming part of the internal compliance posture for SOC 2 audits. GDPR obligations for any user data in the product remain fully in force.</w:t>
      </w:r>
    </w:p>
    <w:p>
      <w:pPr>
        <w:pStyle w:val="Heading2"/>
        <w:pBdr>
          <w:bottom w:val="single" w:color="0D6E6E" w:sz="4" w:space="4"/>
        </w:pBdr>
        <w:spacing w:after="120" w:before="320"/>
      </w:pPr>
      <w:r>
        <w:rPr>
          <w:rFonts w:ascii="Calibri" w:cs="Calibri" w:eastAsia="Calibri" w:hAnsi="Calibri"/>
          <w:b/>
          <w:bCs/>
          <w:color w:val="0D6E6E"/>
          <w:sz w:val="28"/>
          <w:szCs w:val="28"/>
        </w:rPr>
        <w:t xml:space="preserve">8.3  Research and Experimentation</w:t>
      </w:r>
    </w:p>
    <w:p>
      <w:pPr>
        <w:spacing w:after="120" w:before="80" w:line="320"/>
        <w:jc w:val="both"/>
      </w:pPr>
      <w:r>
        <w:rPr>
          <w:rFonts w:ascii="Georgia" w:cs="Georgia" w:eastAsia="Georgia" w:hAnsi="Georgia"/>
          <w:color w:val="1A1A1A"/>
          <w:sz w:val="22"/>
          <w:szCs w:val="22"/>
        </w:rPr>
        <w:t xml:space="preserve">R&amp;D work may use Tier 2 sandboxes with synthetic or fully anonymised data only. No real user data, client data, or production credentials may be present in R&amp;D environments. Agents operating in R&amp;D may have greater autonomy, but must be network-isolated from staging and production. Validated findings — new agent architectures, effective prompt patterns, useful skills — should be contributed to the CAIR through the standard review process.</w:t>
      </w:r>
    </w:p>
    <w:p>
      <w:pPr>
        <w:spacing w:after="0" w:before="0"/>
      </w:pPr>
      <w:r>
        <w:br w:type="page"/>
      </w:r>
    </w:p>
    <w:p>
      <w:pPr>
        <w:spacing w:after="0" w:before="240"/>
      </w:pPr>
    </w:p>
    <w:p>
      <w:pPr>
        <w:spacing w:after="60" w:before="0"/>
      </w:pPr>
      <w:r>
        <w:rPr>
          <w:rFonts w:ascii="Calibri" w:cs="Calibri" w:eastAsia="Calibri" w:hAnsi="Calibri"/>
          <w:b/>
          <w:bCs/>
          <w:color w:val="0D6E6E"/>
          <w:sz w:val="13"/>
          <w:szCs w:val="13"/>
        </w:rPr>
        <w:t xml:space="preserve">9  </w:t>
      </w:r>
      <w:r>
        <w:rPr>
          <w:rFonts w:ascii="Calibri" w:cs="Calibri" w:eastAsia="Calibri" w:hAnsi="Calibri"/>
          <w:b/>
          <w:bCs/>
          <w:color w:val="4A4A4A"/>
          <w:sz w:val="13"/>
          <w:szCs w:val="13"/>
        </w:rPr>
        <w:t xml:space="preserve">TECHNICAL SECURITY ARCHITECTURE</w:t>
      </w:r>
    </w:p>
    <w:p>
      <w:pPr>
        <w:pStyle w:val="Heading1"/>
        <w:pBdr>
          <w:bottom w:val="single" w:color="0D6E6E" w:sz="6"/>
        </w:pBdr>
        <w:shd w:fill="1B2A4A" w:val="clear"/>
        <w:spacing w:after="200" w:before="0"/>
        <w:ind w:left="240" w:right="240"/>
      </w:pPr>
      <w:r>
        <w:rPr>
          <w:rFonts w:ascii="Calibri" w:cs="Calibri" w:eastAsia="Calibri" w:hAnsi="Calibri"/>
          <w:b/>
          <w:bCs/>
          <w:color w:val="FFFFFF"/>
          <w:sz w:val="36"/>
          <w:szCs w:val="36"/>
        </w:rPr>
        <w:t xml:space="preserve">Technical Security Architecture</w:t>
      </w:r>
    </w:p>
    <w:p>
      <w:pPr>
        <w:pStyle w:val="Heading2"/>
        <w:pBdr>
          <w:bottom w:val="single" w:color="0D6E6E" w:sz="4" w:space="4"/>
        </w:pBdr>
        <w:spacing w:after="120" w:before="320"/>
      </w:pPr>
      <w:r>
        <w:rPr>
          <w:rFonts w:ascii="Calibri" w:cs="Calibri" w:eastAsia="Calibri" w:hAnsi="Calibri"/>
          <w:b/>
          <w:bCs/>
          <w:color w:val="0D6E6E"/>
          <w:sz w:val="28"/>
          <w:szCs w:val="28"/>
        </w:rPr>
        <w:t xml:space="preserve">9.1  The AI Gateway Proxy</w:t>
      </w:r>
    </w:p>
    <w:p>
      <w:pPr>
        <w:spacing w:after="120" w:before="80" w:line="320"/>
        <w:jc w:val="both"/>
      </w:pPr>
      <w:r>
        <w:rPr>
          <w:rFonts w:ascii="Georgia" w:cs="Georgia" w:eastAsia="Georgia" w:hAnsi="Georgia"/>
          <w:color w:val="1A1A1A"/>
          <w:sz w:val="22"/>
          <w:szCs w:val="22"/>
        </w:rPr>
        <w:t xml:space="preserve">All AI API calls from developer tooling and agents route through an internally managed proxy. This is the technical enforcement layer that makes security and compliance controls automatic rather than dependent on developer discipline. The proxy performs authentication against SSO-linked tokens, tool authorisation checks against the CAIR approved registry, PII scanning and redaction, secret detection, compliance context injection from the project context file, rate limiting, and cost tagging at the project and user level. Every request and response is logged, with prompt content stored as a hash rather than plaintext to protect developer privacy.</w:t>
      </w:r>
    </w:p>
    <w:p>
      <w:pPr>
        <w:pStyle w:val="Heading2"/>
        <w:pBdr>
          <w:bottom w:val="single" w:color="0D6E6E" w:sz="4" w:space="4"/>
        </w:pBdr>
        <w:spacing w:after="120" w:before="320"/>
      </w:pPr>
      <w:r>
        <w:rPr>
          <w:rFonts w:ascii="Calibri" w:cs="Calibri" w:eastAsia="Calibri" w:hAnsi="Calibri"/>
          <w:b/>
          <w:bCs/>
          <w:color w:val="0D6E6E"/>
          <w:sz w:val="28"/>
          <w:szCs w:val="28"/>
        </w:rPr>
        <w:t xml:space="preserve">9.2  Least Privilege for Agents</w:t>
      </w:r>
    </w:p>
    <w:p>
      <w:pPr>
        <w:spacing w:after="120" w:before="80" w:line="320"/>
        <w:jc w:val="both"/>
      </w:pPr>
      <w:r>
        <w:rPr>
          <w:rFonts w:ascii="Georgia" w:cs="Georgia" w:eastAsia="Georgia" w:hAnsi="Georgia"/>
          <w:color w:val="1A1A1A"/>
          <w:sz w:val="22"/>
          <w:szCs w:val="22"/>
        </w:rPr>
        <w:t xml:space="preserve">Every agent registered in the CAIR carries a documented, minimal permission manifest. Agents are not granted production access. Agents may read and write to feature branches but cannot merge to main. Agents cannot access credentials stores, production databases, or external networks beyond explicitly approved destinations. The blast radius of any agent compromise is bounded by the principle of least privilege, applied at registration and enforced at execution.</w:t>
      </w:r>
    </w:p>
    <w:p>
      <w:pPr>
        <w:pStyle w:val="Heading2"/>
        <w:pBdr>
          <w:bottom w:val="single" w:color="0D6E6E" w:sz="4" w:space="4"/>
        </w:pBdr>
        <w:spacing w:after="120" w:before="320"/>
      </w:pPr>
      <w:r>
        <w:rPr>
          <w:rFonts w:ascii="Calibri" w:cs="Calibri" w:eastAsia="Calibri" w:hAnsi="Calibri"/>
          <w:b/>
          <w:bCs/>
          <w:color w:val="0D6E6E"/>
          <w:sz w:val="28"/>
          <w:szCs w:val="28"/>
        </w:rPr>
        <w:t xml:space="preserve">9.3  Sandboxed Execution Environments</w:t>
      </w:r>
    </w:p>
    <w:p>
      <w:pPr>
        <w:spacing w:after="120" w:before="80" w:line="320"/>
        <w:jc w:val="both"/>
      </w:pPr>
      <w:r>
        <w:rPr>
          <w:rFonts w:ascii="Georgia" w:cs="Georgia" w:eastAsia="Georgia" w:hAnsi="Georgia"/>
          <w:color w:val="1A1A1A"/>
          <w:sz w:val="22"/>
          <w:szCs w:val="22"/>
        </w:rPr>
        <w:t xml:space="preserve">Tier 4 and Tier 5 agents execute in ephemeral, network-isolated containers. Each container is destroyed after task completion. Credentials are injected at runtime via a secrets manager and scoped to the individual task — they are never stored in the agent environment. All network egress from agent containers is logged and reviewed weekly for anomalies.</w:t>
      </w:r>
    </w:p>
    <w:p>
      <w:pPr>
        <w:pStyle w:val="Heading2"/>
        <w:pBdr>
          <w:bottom w:val="single" w:color="0D6E6E" w:sz="4" w:space="4"/>
        </w:pBdr>
        <w:spacing w:after="120" w:before="320"/>
      </w:pPr>
      <w:r>
        <w:rPr>
          <w:rFonts w:ascii="Calibri" w:cs="Calibri" w:eastAsia="Calibri" w:hAnsi="Calibri"/>
          <w:b/>
          <w:bCs/>
          <w:color w:val="0D6E6E"/>
          <w:sz w:val="28"/>
          <w:szCs w:val="28"/>
        </w:rPr>
        <w:t xml:space="preserve">9.4  Prompt Injection Defence</w:t>
      </w:r>
    </w:p>
    <w:p>
      <w:pPr>
        <w:spacing w:after="120" w:before="80" w:line="320"/>
        <w:jc w:val="both"/>
      </w:pPr>
      <w:r>
        <w:rPr>
          <w:rFonts w:ascii="Georgia" w:cs="Georgia" w:eastAsia="Georgia" w:hAnsi="Georgia"/>
          <w:color w:val="1A1A1A"/>
          <w:sz w:val="22"/>
          <w:szCs w:val="22"/>
        </w:rPr>
        <w:t xml:space="preserve">Prompt injection — where adversarial content in external data manipulates an agent into performing unintended actions — is treated as a first-class security threat, not an edge case. Agents that process external content must route that content through a sanitisation layer before it reaches the LLM. Agent instructions and external data are structurally separated in API calls — they are never concatenated as plain strings. Any comment, docstring, or string literal in a codebase is treated as potentially adversarial content. Prompt injection scenarios are included in quarterly red team exercises.</w:t>
      </w:r>
    </w:p>
    <w:p>
      <w:pPr>
        <w:pStyle w:val="Heading2"/>
        <w:pBdr>
          <w:bottom w:val="single" w:color="0D6E6E" w:sz="4" w:space="4"/>
        </w:pBdr>
        <w:spacing w:after="120" w:before="320"/>
      </w:pPr>
      <w:r>
        <w:rPr>
          <w:rFonts w:ascii="Calibri" w:cs="Calibri" w:eastAsia="Calibri" w:hAnsi="Calibri"/>
          <w:b/>
          <w:bCs/>
          <w:color w:val="0D6E6E"/>
          <w:sz w:val="28"/>
          <w:szCs w:val="28"/>
        </w:rPr>
        <w:t xml:space="preserve">9.5  The Shadow AI Policy</w:t>
      </w:r>
    </w:p>
    <w:p>
      <w:pPr>
        <w:spacing w:after="120" w:before="80" w:line="320"/>
        <w:jc w:val="both"/>
      </w:pPr>
      <w:r>
        <w:rPr>
          <w:rFonts w:ascii="Georgia" w:cs="Georgia" w:eastAsia="Georgia" w:hAnsi="Georgia"/>
          <w:color w:val="1A1A1A"/>
          <w:sz w:val="22"/>
          <w:szCs w:val="22"/>
        </w:rPr>
        <w:t xml:space="preserve">Shadow AI — the use of unapproved tools on company or client work — is addressed through detection, education, and proportional response. Endpoint DLP policies flag uploads to known AI provider domains from unregistered tools. Network monitoring alerts on anomalous API traffic patterns. The first occurrence triggers a conversation, mandatory retraining, and documentation. Repeated occurrences or intentional data exfiltration escalate to formal HR procedure.</w:t>
      </w:r>
    </w:p>
    <w:p>
      <w:pPr>
        <w:spacing w:after="120" w:before="80" w:line="320"/>
        <w:jc w:val="both"/>
      </w:pPr>
      <w:r>
        <w:rPr>
          <w:rFonts w:ascii="Georgia" w:cs="Georgia" w:eastAsia="Georgia" w:hAnsi="Georgia"/>
          <w:color w:val="1A1A1A"/>
          <w:sz w:val="22"/>
          <w:szCs w:val="22"/>
        </w:rPr>
        <w:t xml:space="preserve">Critically, the framework treats shadow AI use as a signal that approved tooling is inadequate. If developers seek workarounds, the governance system has created unnecessary friction. That friction must be investigated and removed.</w:t>
      </w:r>
    </w:p>
    <w:p>
      <w:pPr>
        <w:spacing w:after="0" w:before="0"/>
      </w:pPr>
      <w:r>
        <w:br w:type="page"/>
      </w:r>
    </w:p>
    <w:p>
      <w:pPr>
        <w:spacing w:after="0" w:before="240"/>
      </w:pPr>
    </w:p>
    <w:p>
      <w:pPr>
        <w:spacing w:after="60" w:before="0"/>
      </w:pPr>
      <w:r>
        <w:rPr>
          <w:rFonts w:ascii="Calibri" w:cs="Calibri" w:eastAsia="Calibri" w:hAnsi="Calibri"/>
          <w:b/>
          <w:bCs/>
          <w:color w:val="0D6E6E"/>
          <w:sz w:val="13"/>
          <w:szCs w:val="13"/>
        </w:rPr>
        <w:t xml:space="preserve">10  </w:t>
      </w:r>
      <w:r>
        <w:rPr>
          <w:rFonts w:ascii="Calibri" w:cs="Calibri" w:eastAsia="Calibri" w:hAnsi="Calibri"/>
          <w:b/>
          <w:bCs/>
          <w:color w:val="4A4A4A"/>
          <w:sz w:val="13"/>
          <w:szCs w:val="13"/>
        </w:rPr>
        <w:t xml:space="preserve">LOGGING, AUDIT, AND OBSERVABILITY</w:t>
      </w:r>
    </w:p>
    <w:p>
      <w:pPr>
        <w:pStyle w:val="Heading1"/>
        <w:pBdr>
          <w:bottom w:val="single" w:color="0D6E6E" w:sz="6"/>
        </w:pBdr>
        <w:shd w:fill="1B2A4A" w:val="clear"/>
        <w:spacing w:after="200" w:before="0"/>
        <w:ind w:left="240" w:right="240"/>
      </w:pPr>
      <w:r>
        <w:rPr>
          <w:rFonts w:ascii="Calibri" w:cs="Calibri" w:eastAsia="Calibri" w:hAnsi="Calibri"/>
          <w:b/>
          <w:bCs/>
          <w:color w:val="FFFFFF"/>
          <w:sz w:val="36"/>
          <w:szCs w:val="36"/>
        </w:rPr>
        <w:t xml:space="preserve">Logging, Audit, and Observability</w:t>
      </w:r>
    </w:p>
    <w:p>
      <w:pPr>
        <w:spacing w:after="120" w:before="80" w:line="320"/>
        <w:jc w:val="both"/>
      </w:pPr>
      <w:r>
        <w:rPr>
          <w:rFonts w:ascii="Georgia" w:cs="Georgia" w:eastAsia="Georgia" w:hAnsi="Georgia"/>
          <w:color w:val="1A1A1A"/>
          <w:sz w:val="22"/>
          <w:szCs w:val="22"/>
        </w:rPr>
        <w:t xml:space="preserve">Every AI interaction that touches company or client work must produce a structured log entry. The following table defines the mandatory fields, their purpose, and their retention period.</w:t>
      </w:r>
    </w:p>
    <w:p>
      <w:pPr>
        <w:spacing w:after="0" w:before="120"/>
      </w:pP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400"/>
        <w:gridCol w:w="4306"/>
        <w:gridCol w:w="2800"/>
      </w:tblGrid>
      <w:tr>
        <w:trPr>
          <w:tblHeader/>
        </w:trPr>
        <w:tc>
          <w:tcPr>
            <w:tcW w:type="dxa" w:w="2400"/>
            <w:gridSpan w:val="1"/>
            <w:tcBorders>
              <w:top w:val="single" w:color="CCCCCC" w:sz="4"/>
              <w:left w:val="single" w:color="CCCCCC" w:sz="4"/>
              <w:bottom w:val="single" w:color="CCCCCC" w:sz="4"/>
              <w:right w:val="single" w:color="CCCCCC" w:sz="4"/>
            </w:tcBorders>
            <w:shd w:fill="1B2A4A" w:val="clear"/>
            <w:tcMar>
              <w:top w:type="dxa" w:w="80"/>
              <w:left w:type="dxa" w:w="140"/>
              <w:bottom w:type="dxa" w:w="80"/>
              <w:right w:type="dxa" w:w="140"/>
            </w:tcMar>
            <w:vAlign w:val="center"/>
          </w:tcPr>
          <w:p>
            <w:pPr>
              <w:spacing w:after="0" w:before="0"/>
            </w:pPr>
            <w:r>
              <w:rPr>
                <w:rFonts w:ascii="Calibri" w:cs="Calibri" w:eastAsia="Calibri" w:hAnsi="Calibri"/>
                <w:b/>
                <w:bCs/>
                <w:color w:val="FFFFFF"/>
                <w:sz w:val="20"/>
                <w:szCs w:val="20"/>
              </w:rPr>
              <w:t xml:space="preserve">Field</w:t>
            </w:r>
          </w:p>
        </w:tc>
        <w:tc>
          <w:tcPr>
            <w:tcW w:type="dxa" w:w="4306"/>
            <w:gridSpan w:val="1"/>
            <w:tcBorders>
              <w:top w:val="single" w:color="CCCCCC" w:sz="4"/>
              <w:left w:val="single" w:color="CCCCCC" w:sz="4"/>
              <w:bottom w:val="single" w:color="CCCCCC" w:sz="4"/>
              <w:right w:val="single" w:color="CCCCCC" w:sz="4"/>
            </w:tcBorders>
            <w:shd w:fill="1B2A4A" w:val="clear"/>
            <w:tcMar>
              <w:top w:type="dxa" w:w="80"/>
              <w:left w:type="dxa" w:w="140"/>
              <w:bottom w:type="dxa" w:w="80"/>
              <w:right w:type="dxa" w:w="140"/>
            </w:tcMar>
            <w:vAlign w:val="center"/>
          </w:tcPr>
          <w:p>
            <w:pPr>
              <w:spacing w:after="0" w:before="0"/>
            </w:pPr>
            <w:r>
              <w:rPr>
                <w:rFonts w:ascii="Calibri" w:cs="Calibri" w:eastAsia="Calibri" w:hAnsi="Calibri"/>
                <w:b/>
                <w:bCs/>
                <w:color w:val="FFFFFF"/>
                <w:sz w:val="20"/>
                <w:szCs w:val="20"/>
              </w:rPr>
              <w:t xml:space="preserve">Description</w:t>
            </w:r>
          </w:p>
        </w:tc>
        <w:tc>
          <w:tcPr>
            <w:tcW w:type="dxa" w:w="2800"/>
            <w:gridSpan w:val="1"/>
            <w:tcBorders>
              <w:top w:val="single" w:color="CCCCCC" w:sz="4"/>
              <w:left w:val="single" w:color="CCCCCC" w:sz="4"/>
              <w:bottom w:val="single" w:color="CCCCCC" w:sz="4"/>
              <w:right w:val="single" w:color="CCCCCC" w:sz="4"/>
            </w:tcBorders>
            <w:shd w:fill="1B2A4A" w:val="clear"/>
            <w:tcMar>
              <w:top w:type="dxa" w:w="80"/>
              <w:left w:type="dxa" w:w="140"/>
              <w:bottom w:type="dxa" w:w="80"/>
              <w:right w:type="dxa" w:w="140"/>
            </w:tcMar>
            <w:vAlign w:val="center"/>
          </w:tcPr>
          <w:p>
            <w:pPr>
              <w:spacing w:after="0" w:before="0"/>
            </w:pPr>
            <w:r>
              <w:rPr>
                <w:rFonts w:ascii="Calibri" w:cs="Calibri" w:eastAsia="Calibri" w:hAnsi="Calibri"/>
                <w:b/>
                <w:bCs/>
                <w:color w:val="FFFFFF"/>
                <w:sz w:val="20"/>
                <w:szCs w:val="20"/>
              </w:rPr>
              <w:t xml:space="preserve">Retention</w:t>
            </w:r>
          </w:p>
        </w:tc>
      </w:tr>
      <w:tr>
        <w:tc>
          <w:tcPr>
            <w:tcW w:type="dxa" w:w="240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after="0" w:before="0"/>
            </w:pPr>
            <w:r>
              <w:rPr>
                <w:rFonts w:ascii="Calibri" w:cs="Calibri" w:eastAsia="Calibri" w:hAnsi="Calibri"/>
                <w:b w:val="false"/>
                <w:bCs w:val="false"/>
                <w:color w:val="1A1A1A"/>
                <w:sz w:val="20"/>
                <w:szCs w:val="20"/>
              </w:rPr>
              <w:t xml:space="preserve">timestamp</w:t>
            </w:r>
          </w:p>
        </w:tc>
        <w:tc>
          <w:tcPr>
            <w:tcW w:type="dxa" w:w="4306"/>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after="0" w:before="0"/>
            </w:pPr>
            <w:r>
              <w:rPr>
                <w:rFonts w:ascii="Calibri" w:cs="Calibri" w:eastAsia="Calibri" w:hAnsi="Calibri"/>
                <w:b w:val="false"/>
                <w:bCs w:val="false"/>
                <w:color w:val="1A1A1A"/>
                <w:sz w:val="20"/>
                <w:szCs w:val="20"/>
              </w:rPr>
              <w:t xml:space="preserve">ISO 8601 datetime of the interaction</w:t>
            </w:r>
          </w:p>
        </w:tc>
        <w:tc>
          <w:tcPr>
            <w:tcW w:type="dxa" w:w="280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after="0" w:before="0"/>
            </w:pPr>
            <w:r>
              <w:rPr>
                <w:rFonts w:ascii="Calibri" w:cs="Calibri" w:eastAsia="Calibri" w:hAnsi="Calibri"/>
                <w:b w:val="false"/>
                <w:bCs w:val="false"/>
                <w:color w:val="1A1A1A"/>
                <w:sz w:val="20"/>
                <w:szCs w:val="20"/>
              </w:rPr>
              <w:t xml:space="preserve">2 years</w:t>
            </w:r>
          </w:p>
        </w:tc>
      </w:tr>
      <w:tr>
        <w:tc>
          <w:tcPr>
            <w:tcW w:type="dxa" w:w="2400"/>
            <w:gridSpan w:val="1"/>
            <w:tcBorders>
              <w:top w:val="single" w:color="CCCCCC" w:sz="4"/>
              <w:left w:val="single" w:color="CCCCCC" w:sz="4"/>
              <w:bottom w:val="single" w:color="CCCCCC" w:sz="4"/>
              <w:right w:val="single" w:color="CCCCCC" w:sz="4"/>
            </w:tcBorders>
            <w:shd w:fill="F4F6F8" w:val="clear"/>
            <w:tcMar>
              <w:top w:type="dxa" w:w="80"/>
              <w:left w:type="dxa" w:w="140"/>
              <w:bottom w:type="dxa" w:w="80"/>
              <w:right w:type="dxa" w:w="140"/>
            </w:tcMar>
            <w:vAlign w:val="center"/>
          </w:tcPr>
          <w:p>
            <w:pPr>
              <w:spacing w:after="0" w:before="0"/>
            </w:pPr>
            <w:r>
              <w:rPr>
                <w:rFonts w:ascii="Calibri" w:cs="Calibri" w:eastAsia="Calibri" w:hAnsi="Calibri"/>
                <w:b w:val="false"/>
                <w:bCs w:val="false"/>
                <w:color w:val="1A1A1A"/>
                <w:sz w:val="20"/>
                <w:szCs w:val="20"/>
              </w:rPr>
              <w:t xml:space="preserve">user_id</w:t>
            </w:r>
          </w:p>
        </w:tc>
        <w:tc>
          <w:tcPr>
            <w:tcW w:type="dxa" w:w="4306"/>
            <w:gridSpan w:val="1"/>
            <w:tcBorders>
              <w:top w:val="single" w:color="CCCCCC" w:sz="4"/>
              <w:left w:val="single" w:color="CCCCCC" w:sz="4"/>
              <w:bottom w:val="single" w:color="CCCCCC" w:sz="4"/>
              <w:right w:val="single" w:color="CCCCCC" w:sz="4"/>
            </w:tcBorders>
            <w:shd w:fill="F4F6F8" w:val="clear"/>
            <w:tcMar>
              <w:top w:type="dxa" w:w="80"/>
              <w:left w:type="dxa" w:w="140"/>
              <w:bottom w:type="dxa" w:w="80"/>
              <w:right w:type="dxa" w:w="140"/>
            </w:tcMar>
            <w:vAlign w:val="center"/>
          </w:tcPr>
          <w:p>
            <w:pPr>
              <w:spacing w:after="0" w:before="0"/>
            </w:pPr>
            <w:r>
              <w:rPr>
                <w:rFonts w:ascii="Calibri" w:cs="Calibri" w:eastAsia="Calibri" w:hAnsi="Calibri"/>
                <w:b w:val="false"/>
                <w:bCs w:val="false"/>
                <w:color w:val="1A1A1A"/>
                <w:sz w:val="20"/>
                <w:szCs w:val="20"/>
              </w:rPr>
              <w:t xml:space="preserve">SSO-linked identifier of the initiating user</w:t>
            </w:r>
          </w:p>
        </w:tc>
        <w:tc>
          <w:tcPr>
            <w:tcW w:type="dxa" w:w="2800"/>
            <w:gridSpan w:val="1"/>
            <w:tcBorders>
              <w:top w:val="single" w:color="CCCCCC" w:sz="4"/>
              <w:left w:val="single" w:color="CCCCCC" w:sz="4"/>
              <w:bottom w:val="single" w:color="CCCCCC" w:sz="4"/>
              <w:right w:val="single" w:color="CCCCCC" w:sz="4"/>
            </w:tcBorders>
            <w:shd w:fill="F4F6F8" w:val="clear"/>
            <w:tcMar>
              <w:top w:type="dxa" w:w="80"/>
              <w:left w:type="dxa" w:w="140"/>
              <w:bottom w:type="dxa" w:w="80"/>
              <w:right w:type="dxa" w:w="140"/>
            </w:tcMar>
            <w:vAlign w:val="center"/>
          </w:tcPr>
          <w:p>
            <w:pPr>
              <w:spacing w:after="0" w:before="0"/>
            </w:pPr>
            <w:r>
              <w:rPr>
                <w:rFonts w:ascii="Calibri" w:cs="Calibri" w:eastAsia="Calibri" w:hAnsi="Calibri"/>
                <w:b w:val="false"/>
                <w:bCs w:val="false"/>
                <w:color w:val="1A1A1A"/>
                <w:sz w:val="20"/>
                <w:szCs w:val="20"/>
              </w:rPr>
              <w:t xml:space="preserve">2 years</w:t>
            </w:r>
          </w:p>
        </w:tc>
      </w:tr>
      <w:tr>
        <w:tc>
          <w:tcPr>
            <w:tcW w:type="dxa" w:w="240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after="0" w:before="0"/>
            </w:pPr>
            <w:r>
              <w:rPr>
                <w:rFonts w:ascii="Calibri" w:cs="Calibri" w:eastAsia="Calibri" w:hAnsi="Calibri"/>
                <w:b w:val="false"/>
                <w:bCs w:val="false"/>
                <w:color w:val="1A1A1A"/>
                <w:sz w:val="20"/>
                <w:szCs w:val="20"/>
              </w:rPr>
              <w:t xml:space="preserve">project_id</w:t>
            </w:r>
          </w:p>
        </w:tc>
        <w:tc>
          <w:tcPr>
            <w:tcW w:type="dxa" w:w="4306"/>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after="0" w:before="0"/>
            </w:pPr>
            <w:r>
              <w:rPr>
                <w:rFonts w:ascii="Calibri" w:cs="Calibri" w:eastAsia="Calibri" w:hAnsi="Calibri"/>
                <w:b w:val="false"/>
                <w:bCs w:val="false"/>
                <w:color w:val="1A1A1A"/>
                <w:sz w:val="20"/>
                <w:szCs w:val="20"/>
              </w:rPr>
              <w:t xml:space="preserve">From .ai-context.yaml — links AI activity to project and client</w:t>
            </w:r>
          </w:p>
        </w:tc>
        <w:tc>
          <w:tcPr>
            <w:tcW w:type="dxa" w:w="280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after="0" w:before="0"/>
            </w:pPr>
            <w:r>
              <w:rPr>
                <w:rFonts w:ascii="Calibri" w:cs="Calibri" w:eastAsia="Calibri" w:hAnsi="Calibri"/>
                <w:b w:val="false"/>
                <w:bCs w:val="false"/>
                <w:color w:val="1A1A1A"/>
                <w:sz w:val="20"/>
                <w:szCs w:val="20"/>
              </w:rPr>
              <w:t xml:space="preserve">2 years</w:t>
            </w:r>
          </w:p>
        </w:tc>
      </w:tr>
      <w:tr>
        <w:tc>
          <w:tcPr>
            <w:tcW w:type="dxa" w:w="2400"/>
            <w:gridSpan w:val="1"/>
            <w:tcBorders>
              <w:top w:val="single" w:color="CCCCCC" w:sz="4"/>
              <w:left w:val="single" w:color="CCCCCC" w:sz="4"/>
              <w:bottom w:val="single" w:color="CCCCCC" w:sz="4"/>
              <w:right w:val="single" w:color="CCCCCC" w:sz="4"/>
            </w:tcBorders>
            <w:shd w:fill="F4F6F8" w:val="clear"/>
            <w:tcMar>
              <w:top w:type="dxa" w:w="80"/>
              <w:left w:type="dxa" w:w="140"/>
              <w:bottom w:type="dxa" w:w="80"/>
              <w:right w:type="dxa" w:w="140"/>
            </w:tcMar>
            <w:vAlign w:val="center"/>
          </w:tcPr>
          <w:p>
            <w:pPr>
              <w:spacing w:after="0" w:before="0"/>
            </w:pPr>
            <w:r>
              <w:rPr>
                <w:rFonts w:ascii="Calibri" w:cs="Calibri" w:eastAsia="Calibri" w:hAnsi="Calibri"/>
                <w:b w:val="false"/>
                <w:bCs w:val="false"/>
                <w:color w:val="1A1A1A"/>
                <w:sz w:val="20"/>
                <w:szCs w:val="20"/>
              </w:rPr>
              <w:t xml:space="preserve">tool_name</w:t>
            </w:r>
          </w:p>
        </w:tc>
        <w:tc>
          <w:tcPr>
            <w:tcW w:type="dxa" w:w="4306"/>
            <w:gridSpan w:val="1"/>
            <w:tcBorders>
              <w:top w:val="single" w:color="CCCCCC" w:sz="4"/>
              <w:left w:val="single" w:color="CCCCCC" w:sz="4"/>
              <w:bottom w:val="single" w:color="CCCCCC" w:sz="4"/>
              <w:right w:val="single" w:color="CCCCCC" w:sz="4"/>
            </w:tcBorders>
            <w:shd w:fill="F4F6F8" w:val="clear"/>
            <w:tcMar>
              <w:top w:type="dxa" w:w="80"/>
              <w:left w:type="dxa" w:w="140"/>
              <w:bottom w:type="dxa" w:w="80"/>
              <w:right w:type="dxa" w:w="140"/>
            </w:tcMar>
            <w:vAlign w:val="center"/>
          </w:tcPr>
          <w:p>
            <w:pPr>
              <w:spacing w:after="0" w:before="0"/>
            </w:pPr>
            <w:r>
              <w:rPr>
                <w:rFonts w:ascii="Calibri" w:cs="Calibri" w:eastAsia="Calibri" w:hAnsi="Calibri"/>
                <w:b w:val="false"/>
                <w:bCs w:val="false"/>
                <w:color w:val="1A1A1A"/>
                <w:sz w:val="20"/>
                <w:szCs w:val="20"/>
              </w:rPr>
              <w:t xml:space="preserve">Registry-verified tool identifier</w:t>
            </w:r>
          </w:p>
        </w:tc>
        <w:tc>
          <w:tcPr>
            <w:tcW w:type="dxa" w:w="2800"/>
            <w:gridSpan w:val="1"/>
            <w:tcBorders>
              <w:top w:val="single" w:color="CCCCCC" w:sz="4"/>
              <w:left w:val="single" w:color="CCCCCC" w:sz="4"/>
              <w:bottom w:val="single" w:color="CCCCCC" w:sz="4"/>
              <w:right w:val="single" w:color="CCCCCC" w:sz="4"/>
            </w:tcBorders>
            <w:shd w:fill="F4F6F8" w:val="clear"/>
            <w:tcMar>
              <w:top w:type="dxa" w:w="80"/>
              <w:left w:type="dxa" w:w="140"/>
              <w:bottom w:type="dxa" w:w="80"/>
              <w:right w:type="dxa" w:w="140"/>
            </w:tcMar>
            <w:vAlign w:val="center"/>
          </w:tcPr>
          <w:p>
            <w:pPr>
              <w:spacing w:after="0" w:before="0"/>
            </w:pPr>
            <w:r>
              <w:rPr>
                <w:rFonts w:ascii="Calibri" w:cs="Calibri" w:eastAsia="Calibri" w:hAnsi="Calibri"/>
                <w:b w:val="false"/>
                <w:bCs w:val="false"/>
                <w:color w:val="1A1A1A"/>
                <w:sz w:val="20"/>
                <w:szCs w:val="20"/>
              </w:rPr>
              <w:t xml:space="preserve">2 years</w:t>
            </w:r>
          </w:p>
        </w:tc>
      </w:tr>
      <w:tr>
        <w:tc>
          <w:tcPr>
            <w:tcW w:type="dxa" w:w="240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after="0" w:before="0"/>
            </w:pPr>
            <w:r>
              <w:rPr>
                <w:rFonts w:ascii="Calibri" w:cs="Calibri" w:eastAsia="Calibri" w:hAnsi="Calibri"/>
                <w:b w:val="false"/>
                <w:bCs w:val="false"/>
                <w:color w:val="1A1A1A"/>
                <w:sz w:val="20"/>
                <w:szCs w:val="20"/>
              </w:rPr>
              <w:t xml:space="preserve">tier</w:t>
            </w:r>
          </w:p>
        </w:tc>
        <w:tc>
          <w:tcPr>
            <w:tcW w:type="dxa" w:w="4306"/>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after="0" w:before="0"/>
            </w:pPr>
            <w:r>
              <w:rPr>
                <w:rFonts w:ascii="Calibri" w:cs="Calibri" w:eastAsia="Calibri" w:hAnsi="Calibri"/>
                <w:b w:val="false"/>
                <w:bCs w:val="false"/>
                <w:color w:val="1A1A1A"/>
                <w:sz w:val="20"/>
                <w:szCs w:val="20"/>
              </w:rPr>
              <w:t xml:space="preserve">Access tier (1–5) under which the interaction occurred</w:t>
            </w:r>
          </w:p>
        </w:tc>
        <w:tc>
          <w:tcPr>
            <w:tcW w:type="dxa" w:w="280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after="0" w:before="0"/>
            </w:pPr>
            <w:r>
              <w:rPr>
                <w:rFonts w:ascii="Calibri" w:cs="Calibri" w:eastAsia="Calibri" w:hAnsi="Calibri"/>
                <w:b w:val="false"/>
                <w:bCs w:val="false"/>
                <w:color w:val="1A1A1A"/>
                <w:sz w:val="20"/>
                <w:szCs w:val="20"/>
              </w:rPr>
              <w:t xml:space="preserve">2 years</w:t>
            </w:r>
          </w:p>
        </w:tc>
      </w:tr>
      <w:tr>
        <w:tc>
          <w:tcPr>
            <w:tcW w:type="dxa" w:w="2400"/>
            <w:gridSpan w:val="1"/>
            <w:tcBorders>
              <w:top w:val="single" w:color="CCCCCC" w:sz="4"/>
              <w:left w:val="single" w:color="CCCCCC" w:sz="4"/>
              <w:bottom w:val="single" w:color="CCCCCC" w:sz="4"/>
              <w:right w:val="single" w:color="CCCCCC" w:sz="4"/>
            </w:tcBorders>
            <w:shd w:fill="F4F6F8" w:val="clear"/>
            <w:tcMar>
              <w:top w:type="dxa" w:w="80"/>
              <w:left w:type="dxa" w:w="140"/>
              <w:bottom w:type="dxa" w:w="80"/>
              <w:right w:type="dxa" w:w="140"/>
            </w:tcMar>
            <w:vAlign w:val="center"/>
          </w:tcPr>
          <w:p>
            <w:pPr>
              <w:spacing w:after="0" w:before="0"/>
            </w:pPr>
            <w:r>
              <w:rPr>
                <w:rFonts w:ascii="Calibri" w:cs="Calibri" w:eastAsia="Calibri" w:hAnsi="Calibri"/>
                <w:b w:val="false"/>
                <w:bCs w:val="false"/>
                <w:color w:val="1A1A1A"/>
                <w:sz w:val="20"/>
                <w:szCs w:val="20"/>
              </w:rPr>
              <w:t xml:space="preserve">prompt_hash</w:t>
            </w:r>
          </w:p>
        </w:tc>
        <w:tc>
          <w:tcPr>
            <w:tcW w:type="dxa" w:w="4306"/>
            <w:gridSpan w:val="1"/>
            <w:tcBorders>
              <w:top w:val="single" w:color="CCCCCC" w:sz="4"/>
              <w:left w:val="single" w:color="CCCCCC" w:sz="4"/>
              <w:bottom w:val="single" w:color="CCCCCC" w:sz="4"/>
              <w:right w:val="single" w:color="CCCCCC" w:sz="4"/>
            </w:tcBorders>
            <w:shd w:fill="F4F6F8" w:val="clear"/>
            <w:tcMar>
              <w:top w:type="dxa" w:w="80"/>
              <w:left w:type="dxa" w:w="140"/>
              <w:bottom w:type="dxa" w:w="80"/>
              <w:right w:type="dxa" w:w="140"/>
            </w:tcMar>
            <w:vAlign w:val="center"/>
          </w:tcPr>
          <w:p>
            <w:pPr>
              <w:spacing w:after="0" w:before="0"/>
            </w:pPr>
            <w:r>
              <w:rPr>
                <w:rFonts w:ascii="Calibri" w:cs="Calibri" w:eastAsia="Calibri" w:hAnsi="Calibri"/>
                <w:b w:val="false"/>
                <w:bCs w:val="false"/>
                <w:color w:val="1A1A1A"/>
                <w:sz w:val="20"/>
                <w:szCs w:val="20"/>
              </w:rPr>
              <w:t xml:space="preserve">SHA-256 of the prompt — enables investigation without storing content</w:t>
            </w:r>
          </w:p>
        </w:tc>
        <w:tc>
          <w:tcPr>
            <w:tcW w:type="dxa" w:w="2800"/>
            <w:gridSpan w:val="1"/>
            <w:tcBorders>
              <w:top w:val="single" w:color="CCCCCC" w:sz="4"/>
              <w:left w:val="single" w:color="CCCCCC" w:sz="4"/>
              <w:bottom w:val="single" w:color="CCCCCC" w:sz="4"/>
              <w:right w:val="single" w:color="CCCCCC" w:sz="4"/>
            </w:tcBorders>
            <w:shd w:fill="F4F6F8" w:val="clear"/>
            <w:tcMar>
              <w:top w:type="dxa" w:w="80"/>
              <w:left w:type="dxa" w:w="140"/>
              <w:bottom w:type="dxa" w:w="80"/>
              <w:right w:type="dxa" w:w="140"/>
            </w:tcMar>
            <w:vAlign w:val="center"/>
          </w:tcPr>
          <w:p>
            <w:pPr>
              <w:spacing w:after="0" w:before="0"/>
            </w:pPr>
            <w:r>
              <w:rPr>
                <w:rFonts w:ascii="Calibri" w:cs="Calibri" w:eastAsia="Calibri" w:hAnsi="Calibri"/>
                <w:b w:val="false"/>
                <w:bCs w:val="false"/>
                <w:color w:val="1A1A1A"/>
                <w:sz w:val="20"/>
                <w:szCs w:val="20"/>
              </w:rPr>
              <w:t xml:space="preserve">2 years</w:t>
            </w:r>
          </w:p>
        </w:tc>
      </w:tr>
      <w:tr>
        <w:tc>
          <w:tcPr>
            <w:tcW w:type="dxa" w:w="240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after="0" w:before="0"/>
            </w:pPr>
            <w:r>
              <w:rPr>
                <w:rFonts w:ascii="Calibri" w:cs="Calibri" w:eastAsia="Calibri" w:hAnsi="Calibri"/>
                <w:b w:val="false"/>
                <w:bCs w:val="false"/>
                <w:color w:val="1A1A1A"/>
                <w:sz w:val="20"/>
                <w:szCs w:val="20"/>
              </w:rPr>
              <w:t xml:space="preserve">tokens_used</w:t>
            </w:r>
          </w:p>
        </w:tc>
        <w:tc>
          <w:tcPr>
            <w:tcW w:type="dxa" w:w="4306"/>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after="0" w:before="0"/>
            </w:pPr>
            <w:r>
              <w:rPr>
                <w:rFonts w:ascii="Calibri" w:cs="Calibri" w:eastAsia="Calibri" w:hAnsi="Calibri"/>
                <w:b w:val="false"/>
                <w:bCs w:val="false"/>
                <w:color w:val="1A1A1A"/>
                <w:sz w:val="20"/>
                <w:szCs w:val="20"/>
              </w:rPr>
              <w:t xml:space="preserve">Input and output token count for cost tracking</w:t>
            </w:r>
          </w:p>
        </w:tc>
        <w:tc>
          <w:tcPr>
            <w:tcW w:type="dxa" w:w="280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after="0" w:before="0"/>
            </w:pPr>
            <w:r>
              <w:rPr>
                <w:rFonts w:ascii="Calibri" w:cs="Calibri" w:eastAsia="Calibri" w:hAnsi="Calibri"/>
                <w:b w:val="false"/>
                <w:bCs w:val="false"/>
                <w:color w:val="1A1A1A"/>
                <w:sz w:val="20"/>
                <w:szCs w:val="20"/>
              </w:rPr>
              <w:t xml:space="preserve">2 years</w:t>
            </w:r>
          </w:p>
        </w:tc>
      </w:tr>
      <w:tr>
        <w:tc>
          <w:tcPr>
            <w:tcW w:type="dxa" w:w="2400"/>
            <w:gridSpan w:val="1"/>
            <w:tcBorders>
              <w:top w:val="single" w:color="CCCCCC" w:sz="4"/>
              <w:left w:val="single" w:color="CCCCCC" w:sz="4"/>
              <w:bottom w:val="single" w:color="CCCCCC" w:sz="4"/>
              <w:right w:val="single" w:color="CCCCCC" w:sz="4"/>
            </w:tcBorders>
            <w:shd w:fill="F4F6F8" w:val="clear"/>
            <w:tcMar>
              <w:top w:type="dxa" w:w="80"/>
              <w:left w:type="dxa" w:w="140"/>
              <w:bottom w:type="dxa" w:w="80"/>
              <w:right w:type="dxa" w:w="140"/>
            </w:tcMar>
            <w:vAlign w:val="center"/>
          </w:tcPr>
          <w:p>
            <w:pPr>
              <w:spacing w:after="0" w:before="0"/>
            </w:pPr>
            <w:r>
              <w:rPr>
                <w:rFonts w:ascii="Calibri" w:cs="Calibri" w:eastAsia="Calibri" w:hAnsi="Calibri"/>
                <w:b w:val="false"/>
                <w:bCs w:val="false"/>
                <w:color w:val="1A1A1A"/>
                <w:sz w:val="20"/>
                <w:szCs w:val="20"/>
              </w:rPr>
              <w:t xml:space="preserve">security_gates_passed</w:t>
            </w:r>
          </w:p>
        </w:tc>
        <w:tc>
          <w:tcPr>
            <w:tcW w:type="dxa" w:w="4306"/>
            <w:gridSpan w:val="1"/>
            <w:tcBorders>
              <w:top w:val="single" w:color="CCCCCC" w:sz="4"/>
              <w:left w:val="single" w:color="CCCCCC" w:sz="4"/>
              <w:bottom w:val="single" w:color="CCCCCC" w:sz="4"/>
              <w:right w:val="single" w:color="CCCCCC" w:sz="4"/>
            </w:tcBorders>
            <w:shd w:fill="F4F6F8" w:val="clear"/>
            <w:tcMar>
              <w:top w:type="dxa" w:w="80"/>
              <w:left w:type="dxa" w:w="140"/>
              <w:bottom w:type="dxa" w:w="80"/>
              <w:right w:type="dxa" w:w="140"/>
            </w:tcMar>
            <w:vAlign w:val="center"/>
          </w:tcPr>
          <w:p>
            <w:pPr>
              <w:spacing w:after="0" w:before="0"/>
            </w:pPr>
            <w:r>
              <w:rPr>
                <w:rFonts w:ascii="Calibri" w:cs="Calibri" w:eastAsia="Calibri" w:hAnsi="Calibri"/>
                <w:b w:val="false"/>
                <w:bCs w:val="false"/>
                <w:color w:val="1A1A1A"/>
                <w:sz w:val="20"/>
                <w:szCs w:val="20"/>
              </w:rPr>
              <w:t xml:space="preserve">Boolean result for each automated security gate</w:t>
            </w:r>
          </w:p>
        </w:tc>
        <w:tc>
          <w:tcPr>
            <w:tcW w:type="dxa" w:w="2800"/>
            <w:gridSpan w:val="1"/>
            <w:tcBorders>
              <w:top w:val="single" w:color="CCCCCC" w:sz="4"/>
              <w:left w:val="single" w:color="CCCCCC" w:sz="4"/>
              <w:bottom w:val="single" w:color="CCCCCC" w:sz="4"/>
              <w:right w:val="single" w:color="CCCCCC" w:sz="4"/>
            </w:tcBorders>
            <w:shd w:fill="F4F6F8" w:val="clear"/>
            <w:tcMar>
              <w:top w:type="dxa" w:w="80"/>
              <w:left w:type="dxa" w:w="140"/>
              <w:bottom w:type="dxa" w:w="80"/>
              <w:right w:type="dxa" w:w="140"/>
            </w:tcMar>
            <w:vAlign w:val="center"/>
          </w:tcPr>
          <w:p>
            <w:pPr>
              <w:spacing w:after="0" w:before="0"/>
            </w:pPr>
            <w:r>
              <w:rPr>
                <w:rFonts w:ascii="Calibri" w:cs="Calibri" w:eastAsia="Calibri" w:hAnsi="Calibri"/>
                <w:b w:val="false"/>
                <w:bCs w:val="false"/>
                <w:color w:val="1A1A1A"/>
                <w:sz w:val="20"/>
                <w:szCs w:val="20"/>
              </w:rPr>
              <w:t xml:space="preserve">2 years</w:t>
            </w:r>
          </w:p>
        </w:tc>
      </w:tr>
      <w:tr>
        <w:tc>
          <w:tcPr>
            <w:tcW w:type="dxa" w:w="240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after="0" w:before="0"/>
            </w:pPr>
            <w:r>
              <w:rPr>
                <w:rFonts w:ascii="Calibri" w:cs="Calibri" w:eastAsia="Calibri" w:hAnsi="Calibri"/>
                <w:b w:val="false"/>
                <w:bCs w:val="false"/>
                <w:color w:val="1A1A1A"/>
                <w:sz w:val="20"/>
                <w:szCs w:val="20"/>
              </w:rPr>
              <w:t xml:space="preserve">reviewer_id</w:t>
            </w:r>
          </w:p>
        </w:tc>
        <w:tc>
          <w:tcPr>
            <w:tcW w:type="dxa" w:w="4306"/>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after="0" w:before="0"/>
            </w:pPr>
            <w:r>
              <w:rPr>
                <w:rFonts w:ascii="Calibri" w:cs="Calibri" w:eastAsia="Calibri" w:hAnsi="Calibri"/>
                <w:b w:val="false"/>
                <w:bCs w:val="false"/>
                <w:color w:val="1A1A1A"/>
                <w:sz w:val="20"/>
                <w:szCs w:val="20"/>
              </w:rPr>
              <w:t xml:space="preserve">Identifier of the human who reviewed the output</w:t>
            </w:r>
          </w:p>
        </w:tc>
        <w:tc>
          <w:tcPr>
            <w:tcW w:type="dxa" w:w="280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after="0" w:before="0"/>
            </w:pPr>
            <w:r>
              <w:rPr>
                <w:rFonts w:ascii="Calibri" w:cs="Calibri" w:eastAsia="Calibri" w:hAnsi="Calibri"/>
                <w:b w:val="false"/>
                <w:bCs w:val="false"/>
                <w:color w:val="1A1A1A"/>
                <w:sz w:val="20"/>
                <w:szCs w:val="20"/>
              </w:rPr>
              <w:t xml:space="preserve">2 years</w:t>
            </w:r>
          </w:p>
        </w:tc>
      </w:tr>
      <w:tr>
        <w:tc>
          <w:tcPr>
            <w:tcW w:type="dxa" w:w="2400"/>
            <w:gridSpan w:val="1"/>
            <w:tcBorders>
              <w:top w:val="single" w:color="CCCCCC" w:sz="4"/>
              <w:left w:val="single" w:color="CCCCCC" w:sz="4"/>
              <w:bottom w:val="single" w:color="CCCCCC" w:sz="4"/>
              <w:right w:val="single" w:color="CCCCCC" w:sz="4"/>
            </w:tcBorders>
            <w:shd w:fill="F4F6F8" w:val="clear"/>
            <w:tcMar>
              <w:top w:type="dxa" w:w="80"/>
              <w:left w:type="dxa" w:w="140"/>
              <w:bottom w:type="dxa" w:w="80"/>
              <w:right w:type="dxa" w:w="140"/>
            </w:tcMar>
            <w:vAlign w:val="center"/>
          </w:tcPr>
          <w:p>
            <w:pPr>
              <w:spacing w:after="0" w:before="0"/>
            </w:pPr>
            <w:r>
              <w:rPr>
                <w:rFonts w:ascii="Calibri" w:cs="Calibri" w:eastAsia="Calibri" w:hAnsi="Calibri"/>
                <w:b w:val="false"/>
                <w:bCs w:val="false"/>
                <w:color w:val="1A1A1A"/>
                <w:sz w:val="20"/>
                <w:szCs w:val="20"/>
              </w:rPr>
              <w:t xml:space="preserve">compliance_tags</w:t>
            </w:r>
          </w:p>
        </w:tc>
        <w:tc>
          <w:tcPr>
            <w:tcW w:type="dxa" w:w="4306"/>
            <w:gridSpan w:val="1"/>
            <w:tcBorders>
              <w:top w:val="single" w:color="CCCCCC" w:sz="4"/>
              <w:left w:val="single" w:color="CCCCCC" w:sz="4"/>
              <w:bottom w:val="single" w:color="CCCCCC" w:sz="4"/>
              <w:right w:val="single" w:color="CCCCCC" w:sz="4"/>
            </w:tcBorders>
            <w:shd w:fill="F4F6F8" w:val="clear"/>
            <w:tcMar>
              <w:top w:type="dxa" w:w="80"/>
              <w:left w:type="dxa" w:w="140"/>
              <w:bottom w:type="dxa" w:w="80"/>
              <w:right w:type="dxa" w:w="140"/>
            </w:tcMar>
            <w:vAlign w:val="center"/>
          </w:tcPr>
          <w:p>
            <w:pPr>
              <w:spacing w:after="0" w:before="0"/>
            </w:pPr>
            <w:r>
              <w:rPr>
                <w:rFonts w:ascii="Calibri" w:cs="Calibri" w:eastAsia="Calibri" w:hAnsi="Calibri"/>
                <w:b w:val="false"/>
                <w:bCs w:val="false"/>
                <w:color w:val="1A1A1A"/>
                <w:sz w:val="20"/>
                <w:szCs w:val="20"/>
              </w:rPr>
              <w:t xml:space="preserve">Active compliance frameworks from the project context file</w:t>
            </w:r>
          </w:p>
        </w:tc>
        <w:tc>
          <w:tcPr>
            <w:tcW w:type="dxa" w:w="2800"/>
            <w:gridSpan w:val="1"/>
            <w:tcBorders>
              <w:top w:val="single" w:color="CCCCCC" w:sz="4"/>
              <w:left w:val="single" w:color="CCCCCC" w:sz="4"/>
              <w:bottom w:val="single" w:color="CCCCCC" w:sz="4"/>
              <w:right w:val="single" w:color="CCCCCC" w:sz="4"/>
            </w:tcBorders>
            <w:shd w:fill="F4F6F8" w:val="clear"/>
            <w:tcMar>
              <w:top w:type="dxa" w:w="80"/>
              <w:left w:type="dxa" w:w="140"/>
              <w:bottom w:type="dxa" w:w="80"/>
              <w:right w:type="dxa" w:w="140"/>
            </w:tcMar>
            <w:vAlign w:val="center"/>
          </w:tcPr>
          <w:p>
            <w:pPr>
              <w:spacing w:after="0" w:before="0"/>
            </w:pPr>
            <w:r>
              <w:rPr>
                <w:rFonts w:ascii="Calibri" w:cs="Calibri" w:eastAsia="Calibri" w:hAnsi="Calibri"/>
                <w:b w:val="false"/>
                <w:bCs w:val="false"/>
                <w:color w:val="1A1A1A"/>
                <w:sz w:val="20"/>
                <w:szCs w:val="20"/>
              </w:rPr>
              <w:t xml:space="preserve">7 years</w:t>
            </w:r>
          </w:p>
        </w:tc>
      </w:tr>
      <w:tr>
        <w:tc>
          <w:tcPr>
            <w:tcW w:type="dxa" w:w="240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after="0" w:before="0"/>
            </w:pPr>
            <w:r>
              <w:rPr>
                <w:rFonts w:ascii="Calibri" w:cs="Calibri" w:eastAsia="Calibri" w:hAnsi="Calibri"/>
                <w:b w:val="false"/>
                <w:bCs w:val="false"/>
                <w:color w:val="1A1A1A"/>
                <w:sz w:val="20"/>
                <w:szCs w:val="20"/>
              </w:rPr>
              <w:t xml:space="preserve">pii_detected</w:t>
            </w:r>
          </w:p>
        </w:tc>
        <w:tc>
          <w:tcPr>
            <w:tcW w:type="dxa" w:w="4306"/>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after="0" w:before="0"/>
            </w:pPr>
            <w:r>
              <w:rPr>
                <w:rFonts w:ascii="Calibri" w:cs="Calibri" w:eastAsia="Calibri" w:hAnsi="Calibri"/>
                <w:b w:val="false"/>
                <w:bCs w:val="false"/>
                <w:color w:val="1A1A1A"/>
                <w:sz w:val="20"/>
                <w:szCs w:val="20"/>
              </w:rPr>
              <w:t xml:space="preserve">Boolean plus category if PII was identified in the prompt</w:t>
            </w:r>
          </w:p>
        </w:tc>
        <w:tc>
          <w:tcPr>
            <w:tcW w:type="dxa" w:w="280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after="0" w:before="0"/>
            </w:pPr>
            <w:r>
              <w:rPr>
                <w:rFonts w:ascii="Calibri" w:cs="Calibri" w:eastAsia="Calibri" w:hAnsi="Calibri"/>
                <w:b w:val="false"/>
                <w:bCs w:val="false"/>
                <w:color w:val="1A1A1A"/>
                <w:sz w:val="20"/>
                <w:szCs w:val="20"/>
              </w:rPr>
              <w:t xml:space="preserve">7 years</w:t>
            </w:r>
          </w:p>
        </w:tc>
      </w:tr>
      <w:tr>
        <w:tc>
          <w:tcPr>
            <w:tcW w:type="dxa" w:w="2400"/>
            <w:gridSpan w:val="1"/>
            <w:tcBorders>
              <w:top w:val="single" w:color="CCCCCC" w:sz="4"/>
              <w:left w:val="single" w:color="CCCCCC" w:sz="4"/>
              <w:bottom w:val="single" w:color="CCCCCC" w:sz="4"/>
              <w:right w:val="single" w:color="CCCCCC" w:sz="4"/>
            </w:tcBorders>
            <w:shd w:fill="F4F6F8" w:val="clear"/>
            <w:tcMar>
              <w:top w:type="dxa" w:w="80"/>
              <w:left w:type="dxa" w:w="140"/>
              <w:bottom w:type="dxa" w:w="80"/>
              <w:right w:type="dxa" w:w="140"/>
            </w:tcMar>
            <w:vAlign w:val="center"/>
          </w:tcPr>
          <w:p>
            <w:pPr>
              <w:spacing w:after="0" w:before="0"/>
            </w:pPr>
            <w:r>
              <w:rPr>
                <w:rFonts w:ascii="Calibri" w:cs="Calibri" w:eastAsia="Calibri" w:hAnsi="Calibri"/>
                <w:b w:val="false"/>
                <w:bCs w:val="false"/>
                <w:color w:val="1A1A1A"/>
                <w:sz w:val="20"/>
                <w:szCs w:val="20"/>
              </w:rPr>
              <w:t xml:space="preserve">merged_to_production</w:t>
            </w:r>
          </w:p>
        </w:tc>
        <w:tc>
          <w:tcPr>
            <w:tcW w:type="dxa" w:w="4306"/>
            <w:gridSpan w:val="1"/>
            <w:tcBorders>
              <w:top w:val="single" w:color="CCCCCC" w:sz="4"/>
              <w:left w:val="single" w:color="CCCCCC" w:sz="4"/>
              <w:bottom w:val="single" w:color="CCCCCC" w:sz="4"/>
              <w:right w:val="single" w:color="CCCCCC" w:sz="4"/>
            </w:tcBorders>
            <w:shd w:fill="F4F6F8" w:val="clear"/>
            <w:tcMar>
              <w:top w:type="dxa" w:w="80"/>
              <w:left w:type="dxa" w:w="140"/>
              <w:bottom w:type="dxa" w:w="80"/>
              <w:right w:type="dxa" w:w="140"/>
            </w:tcMar>
            <w:vAlign w:val="center"/>
          </w:tcPr>
          <w:p>
            <w:pPr>
              <w:spacing w:after="0" w:before="0"/>
            </w:pPr>
            <w:r>
              <w:rPr>
                <w:rFonts w:ascii="Calibri" w:cs="Calibri" w:eastAsia="Calibri" w:hAnsi="Calibri"/>
                <w:b w:val="false"/>
                <w:bCs w:val="false"/>
                <w:color w:val="1A1A1A"/>
                <w:sz w:val="20"/>
                <w:szCs w:val="20"/>
              </w:rPr>
              <w:t xml:space="preserve">Boolean — final confirmation that the output reached production</w:t>
            </w:r>
          </w:p>
        </w:tc>
        <w:tc>
          <w:tcPr>
            <w:tcW w:type="dxa" w:w="2800"/>
            <w:gridSpan w:val="1"/>
            <w:tcBorders>
              <w:top w:val="single" w:color="CCCCCC" w:sz="4"/>
              <w:left w:val="single" w:color="CCCCCC" w:sz="4"/>
              <w:bottom w:val="single" w:color="CCCCCC" w:sz="4"/>
              <w:right w:val="single" w:color="CCCCCC" w:sz="4"/>
            </w:tcBorders>
            <w:shd w:fill="F4F6F8" w:val="clear"/>
            <w:tcMar>
              <w:top w:type="dxa" w:w="80"/>
              <w:left w:type="dxa" w:w="140"/>
              <w:bottom w:type="dxa" w:w="80"/>
              <w:right w:type="dxa" w:w="140"/>
            </w:tcMar>
            <w:vAlign w:val="center"/>
          </w:tcPr>
          <w:p>
            <w:pPr>
              <w:spacing w:after="0" w:before="0"/>
            </w:pPr>
            <w:r>
              <w:rPr>
                <w:rFonts w:ascii="Calibri" w:cs="Calibri" w:eastAsia="Calibri" w:hAnsi="Calibri"/>
                <w:b w:val="false"/>
                <w:bCs w:val="false"/>
                <w:color w:val="1A1A1A"/>
                <w:sz w:val="20"/>
                <w:szCs w:val="20"/>
              </w:rPr>
              <w:t xml:space="preserve">7 years</w:t>
            </w:r>
          </w:p>
        </w:tc>
      </w:tr>
    </w:tbl>
    <w:p>
      <w:pPr>
        <w:spacing w:after="0" w:before="160"/>
      </w:pPr>
    </w:p>
    <w:p>
      <w:pPr>
        <w:spacing w:after="120" w:before="80" w:line="320"/>
        <w:jc w:val="both"/>
      </w:pPr>
      <w:r>
        <w:rPr>
          <w:rFonts w:ascii="Georgia" w:cs="Georgia" w:eastAsia="Georgia" w:hAnsi="Georgia"/>
          <w:color w:val="1A1A1A"/>
          <w:sz w:val="22"/>
          <w:szCs w:val="22"/>
        </w:rPr>
        <w:t xml:space="preserve">Audit dashboards are reviewed on defined cadences: daily for active agent tasks and failed security gates; weekly for AI-generated code merge rates and top compliance rule violations; monthly for the AI Quality Report by team; and quarterly for full AI compliance posture review and vendor reassessment.</w:t>
      </w:r>
    </w:p>
    <w:p>
      <w:pPr>
        <w:spacing w:after="0" w:before="0"/>
      </w:pPr>
      <w:r>
        <w:br w:type="page"/>
      </w:r>
    </w:p>
    <w:p>
      <w:pPr>
        <w:spacing w:after="0" w:before="240"/>
      </w:pPr>
    </w:p>
    <w:p>
      <w:pPr>
        <w:spacing w:after="60" w:before="0"/>
      </w:pPr>
      <w:r>
        <w:rPr>
          <w:rFonts w:ascii="Calibri" w:cs="Calibri" w:eastAsia="Calibri" w:hAnsi="Calibri"/>
          <w:b/>
          <w:bCs/>
          <w:color w:val="0D6E6E"/>
          <w:sz w:val="13"/>
          <w:szCs w:val="13"/>
        </w:rPr>
        <w:t xml:space="preserve">11  </w:t>
      </w:r>
      <w:r>
        <w:rPr>
          <w:rFonts w:ascii="Calibri" w:cs="Calibri" w:eastAsia="Calibri" w:hAnsi="Calibri"/>
          <w:b/>
          <w:bCs/>
          <w:color w:val="4A4A4A"/>
          <w:sz w:val="13"/>
          <w:szCs w:val="13"/>
        </w:rPr>
        <w:t xml:space="preserve">COST GOVERNANCE</w:t>
      </w:r>
    </w:p>
    <w:p>
      <w:pPr>
        <w:pStyle w:val="Heading1"/>
        <w:pBdr>
          <w:bottom w:val="single" w:color="0D6E6E" w:sz="6"/>
        </w:pBdr>
        <w:shd w:fill="1B2A4A" w:val="clear"/>
        <w:spacing w:after="200" w:before="0"/>
        <w:ind w:left="240" w:right="240"/>
      </w:pPr>
      <w:r>
        <w:rPr>
          <w:rFonts w:ascii="Calibri" w:cs="Calibri" w:eastAsia="Calibri" w:hAnsi="Calibri"/>
          <w:b/>
          <w:bCs/>
          <w:color w:val="FFFFFF"/>
          <w:sz w:val="36"/>
          <w:szCs w:val="36"/>
        </w:rPr>
        <w:t xml:space="preserve">Cost Governance</w:t>
      </w:r>
    </w:p>
    <w:p>
      <w:pPr>
        <w:spacing w:after="120" w:before="80" w:line="320"/>
        <w:jc w:val="both"/>
      </w:pPr>
      <w:r>
        <w:rPr>
          <w:rFonts w:ascii="Georgia" w:cs="Georgia" w:eastAsia="Georgia" w:hAnsi="Georgia"/>
          <w:color w:val="1A1A1A"/>
          <w:sz w:val="22"/>
          <w:szCs w:val="22"/>
        </w:rPr>
        <w:t xml:space="preserve">AI tooling costs can scale non-linearly with agentic usage. A framework that ignores cost is a framework that will be abandoned after the first quarterly billing cycle. The following model ensures that AI spend is tracked, bounded, and attributed — at every level.</w:t>
      </w:r>
    </w:p>
    <w:p>
      <w:pPr>
        <w:pStyle w:val="Heading2"/>
        <w:pBdr>
          <w:bottom w:val="single" w:color="0D6E6E" w:sz="4" w:space="4"/>
        </w:pBdr>
        <w:spacing w:after="120" w:before="320"/>
      </w:pPr>
      <w:r>
        <w:rPr>
          <w:rFonts w:ascii="Calibri" w:cs="Calibri" w:eastAsia="Calibri" w:hAnsi="Calibri"/>
          <w:b/>
          <w:bCs/>
          <w:color w:val="0D6E6E"/>
          <w:sz w:val="28"/>
          <w:szCs w:val="28"/>
        </w:rPr>
        <w:t xml:space="preserve">11.1  Budget Architecture</w:t>
      </w:r>
    </w:p>
    <w:p>
      <w:pPr>
        <w:spacing w:after="120" w:before="80" w:line="320"/>
        <w:jc w:val="both"/>
      </w:pPr>
      <w:r>
        <w:rPr>
          <w:rFonts w:ascii="Georgia" w:cs="Georgia" w:eastAsia="Georgia" w:hAnsi="Georgia"/>
          <w:color w:val="1A1A1A"/>
          <w:sz w:val="22"/>
          <w:szCs w:val="22"/>
        </w:rPr>
        <w:t xml:space="preserve">The company AI budget is set quarterly by Finance in consultation with the CTO. It is allocated across three pools: client projects (typically 60% of budget, passed through with appropriate margin), internal products (typically 30%), and R&amp;D and innovation (typically 10%, applied for by team leads on a time-boxed basis). Each pool has per-project monthly caps managed by the relevant Engineering Manager.</w:t>
      </w:r>
    </w:p>
    <w:p>
      <w:pPr>
        <w:pStyle w:val="Heading2"/>
        <w:pBdr>
          <w:bottom w:val="single" w:color="0D6E6E" w:sz="4" w:space="4"/>
        </w:pBdr>
        <w:spacing w:after="120" w:before="320"/>
      </w:pPr>
      <w:r>
        <w:rPr>
          <w:rFonts w:ascii="Calibri" w:cs="Calibri" w:eastAsia="Calibri" w:hAnsi="Calibri"/>
          <w:b/>
          <w:bCs/>
          <w:color w:val="0D6E6E"/>
          <w:sz w:val="28"/>
          <w:szCs w:val="28"/>
        </w:rPr>
        <w:t xml:space="preserve">11.2  Enforcement Controls</w:t>
      </w:r>
    </w:p>
    <w:p>
      <w:pPr>
        <w:spacing w:after="120" w:before="80" w:line="320"/>
        <w:jc w:val="both"/>
      </w:pPr>
      <w:r>
        <w:rPr>
          <w:rFonts w:ascii="Georgia" w:cs="Georgia" w:eastAsia="Georgia" w:hAnsi="Georgia"/>
          <w:color w:val="1A1A1A"/>
          <w:sz w:val="22"/>
          <w:szCs w:val="22"/>
        </w:rPr>
        <w:t xml:space="preserve">Every developer carries a soft monthly usage limit, configurable by role. Reaching the soft limit triggers an alert — it does not block work. Projects have a hard monthly cap. At 80% of the cap, the Tech Lead is notified. At 100%, new AI requests require explicit Tech Lead approval. All token usage is tagged with project and user identifiers at the AI Gateway Proxy layer — untagged spend is not permitted.</w:t>
      </w:r>
    </w:p>
    <w:p>
      <w:pPr>
        <w:pStyle w:val="Heading2"/>
        <w:pBdr>
          <w:bottom w:val="single" w:color="0D6E6E" w:sz="4" w:space="4"/>
        </w:pBdr>
        <w:spacing w:after="120" w:before="320"/>
      </w:pPr>
      <w:r>
        <w:rPr>
          <w:rFonts w:ascii="Calibri" w:cs="Calibri" w:eastAsia="Calibri" w:hAnsi="Calibri"/>
          <w:b/>
          <w:bCs/>
          <w:color w:val="0D6E6E"/>
          <w:sz w:val="28"/>
          <w:szCs w:val="28"/>
        </w:rPr>
        <w:t xml:space="preserve">11.3  Cost Optimisation Guidance</w:t>
      </w:r>
    </w:p>
    <w:p>
      <w:pPr>
        <w:spacing w:after="120" w:before="80" w:line="320"/>
        <w:jc w:val="both"/>
      </w:pPr>
      <w:r>
        <w:rPr>
          <w:rFonts w:ascii="Georgia" w:cs="Georgia" w:eastAsia="Georgia" w:hAnsi="Georgia"/>
          <w:color w:val="1A1A1A"/>
          <w:sz w:val="22"/>
          <w:szCs w:val="22"/>
        </w:rPr>
        <w:t xml:space="preserve">Well-engineered prompts from the CAIR library typically consume fewer tokens for better output quality than improvised prompts. For repetitive batch tasks, smaller models may deliver equivalent quality at lower cost — this should be validated by the team before becoming standard practice, not assumed. Agentic tasks should define a maximum step count in their registry entry to prevent runaway execution loops. AI response caching is recommended for identical tasks within a sprint, particularly for documentation generation.</w:t>
      </w:r>
    </w:p>
    <w:p>
      <w:pPr>
        <w:spacing w:after="0" w:before="0"/>
      </w:pPr>
      <w:r>
        <w:br w:type="page"/>
      </w:r>
    </w:p>
    <w:p>
      <w:pPr>
        <w:spacing w:after="0" w:before="240"/>
      </w:pPr>
    </w:p>
    <w:p>
      <w:pPr>
        <w:spacing w:after="60" w:before="0"/>
      </w:pPr>
      <w:r>
        <w:rPr>
          <w:rFonts w:ascii="Calibri" w:cs="Calibri" w:eastAsia="Calibri" w:hAnsi="Calibri"/>
          <w:b/>
          <w:bCs/>
          <w:color w:val="0D6E6E"/>
          <w:sz w:val="13"/>
          <w:szCs w:val="13"/>
        </w:rPr>
        <w:t xml:space="preserve">12  </w:t>
      </w:r>
      <w:r>
        <w:rPr>
          <w:rFonts w:ascii="Calibri" w:cs="Calibri" w:eastAsia="Calibri" w:hAnsi="Calibri"/>
          <w:b/>
          <w:bCs/>
          <w:color w:val="4A4A4A"/>
          <w:sz w:val="13"/>
          <w:szCs w:val="13"/>
        </w:rPr>
        <w:t xml:space="preserve">90-DAY ADOPTION ROADMAP</w:t>
      </w:r>
    </w:p>
    <w:p>
      <w:pPr>
        <w:pStyle w:val="Heading1"/>
        <w:pBdr>
          <w:bottom w:val="single" w:color="0D6E6E" w:sz="6"/>
        </w:pBdr>
        <w:shd w:fill="1B2A4A" w:val="clear"/>
        <w:spacing w:after="200" w:before="0"/>
        <w:ind w:left="240" w:right="240"/>
      </w:pPr>
      <w:r>
        <w:rPr>
          <w:rFonts w:ascii="Calibri" w:cs="Calibri" w:eastAsia="Calibri" w:hAnsi="Calibri"/>
          <w:b/>
          <w:bCs/>
          <w:color w:val="FFFFFF"/>
          <w:sz w:val="36"/>
          <w:szCs w:val="36"/>
        </w:rPr>
        <w:t xml:space="preserve">90-Day Adoption Roadmap</w:t>
      </w:r>
    </w:p>
    <w:p>
      <w:pPr>
        <w:spacing w:after="120" w:before="80" w:line="320"/>
        <w:jc w:val="both"/>
      </w:pPr>
      <w:r>
        <w:rPr>
          <w:rFonts w:ascii="Georgia" w:cs="Georgia" w:eastAsia="Georgia" w:hAnsi="Georgia"/>
          <w:color w:val="1A1A1A"/>
          <w:sz w:val="22"/>
          <w:szCs w:val="22"/>
        </w:rPr>
        <w:t xml:space="preserve">The following roadmap is designed for organisations of 50 to 500 engineers. The timescales should be compressed for smaller organisations and extended for those with more complex compliance environments.</w:t>
      </w:r>
    </w:p>
    <w:p>
      <w:pPr>
        <w:pStyle w:val="Heading2"/>
        <w:pBdr>
          <w:bottom w:val="single" w:color="0D6E6E" w:sz="4" w:space="4"/>
        </w:pBdr>
        <w:spacing w:after="120" w:before="320"/>
      </w:pPr>
      <w:r>
        <w:rPr>
          <w:rFonts w:ascii="Calibri" w:cs="Calibri" w:eastAsia="Calibri" w:hAnsi="Calibri"/>
          <w:b/>
          <w:bCs/>
          <w:color w:val="0D6E6E"/>
          <w:sz w:val="28"/>
          <w:szCs w:val="28"/>
        </w:rPr>
        <w:t xml:space="preserve">Days 1–30: Foundation</w:t>
      </w:r>
    </w:p>
    <w:p>
      <w:pPr>
        <w:spacing w:after="120" w:before="80" w:line="320"/>
        <w:jc w:val="both"/>
      </w:pPr>
      <w:r>
        <w:rPr>
          <w:rFonts w:ascii="Georgia" w:cs="Georgia" w:eastAsia="Georgia" w:hAnsi="Georgia"/>
          <w:color w:val="1A1A1A"/>
          <w:sz w:val="22"/>
          <w:szCs w:val="22"/>
        </w:rPr>
        <w:t xml:space="preserve">The first month establishes the infrastructure and the culture simultaneously. On the infrastructure side: deploy the AI Gateway Proxy, stand up the CAIR as a Git repository, configure SSO-linked API key issuance for approved tools, and establish basic logging to the SIEM. On the culture side: publish this framework internally with a genuine launch — not an email, but a live session where senior engineers demonstrate approved tooling in real workflows. Identify AI Champions in each team. Have every Tech Lead complete the Compliance Context File for their active projects.</w:t>
      </w:r>
    </w:p>
    <w:p>
      <w:pPr>
        <w:spacing w:after="120" w:before="80" w:line="320"/>
        <w:jc w:val="both"/>
      </w:pPr>
      <w:r>
        <w:rPr>
          <w:rFonts w:ascii="Georgia" w:cs="Georgia" w:eastAsia="Georgia" w:hAnsi="Georgia"/>
          <w:color w:val="1A1A1A"/>
          <w:sz w:val="22"/>
          <w:szCs w:val="22"/>
        </w:rPr>
        <w:t xml:space="preserve">By the end of day 30, every developer should have Tier 1 through 3 access, understand the tier model, and be working within approved tooling. Every active project should have a compliance context file.</w:t>
      </w:r>
    </w:p>
    <w:p>
      <w:pPr>
        <w:pStyle w:val="Heading2"/>
        <w:pBdr>
          <w:bottom w:val="single" w:color="0D6E6E" w:sz="4" w:space="4"/>
        </w:pBdr>
        <w:spacing w:after="120" w:before="320"/>
      </w:pPr>
      <w:r>
        <w:rPr>
          <w:rFonts w:ascii="Calibri" w:cs="Calibri" w:eastAsia="Calibri" w:hAnsi="Calibri"/>
          <w:b/>
          <w:bCs/>
          <w:color w:val="0D6E6E"/>
          <w:sz w:val="28"/>
          <w:szCs w:val="28"/>
        </w:rPr>
        <w:t xml:space="preserve">Days 31–60: Security Gates and First Agents</w:t>
      </w:r>
    </w:p>
    <w:p>
      <w:pPr>
        <w:spacing w:after="120" w:before="80" w:line="320"/>
        <w:jc w:val="both"/>
      </w:pPr>
      <w:r>
        <w:rPr>
          <w:rFonts w:ascii="Georgia" w:cs="Georgia" w:eastAsia="Georgia" w:hAnsi="Georgia"/>
          <w:color w:val="1A1A1A"/>
          <w:sz w:val="22"/>
          <w:szCs w:val="22"/>
        </w:rPr>
        <w:t xml:space="preserve">The second month integrates automated security into every repository and introduces the first controlled agentic workflows. SAST, secret detection, and PII scanning are added to all CI/CD pipelines. The CAIR prompt library is seeded with 20 to 30 high-value prompts covering the most common development tasks. AI-SBOM automation is deployed in the CI pipeline.</w:t>
      </w:r>
    </w:p>
    <w:p>
      <w:pPr>
        <w:spacing w:after="120" w:before="80" w:line="320"/>
        <w:jc w:val="both"/>
      </w:pPr>
      <w:r>
        <w:rPr>
          <w:rFonts w:ascii="Georgia" w:cs="Georgia" w:eastAsia="Georgia" w:hAnsi="Georgia"/>
          <w:color w:val="1A1A1A"/>
          <w:sz w:val="22"/>
          <w:szCs w:val="22"/>
        </w:rPr>
        <w:t xml:space="preserve">The first Tier 4 agents are onboarded for two or three well-understood use cases — test generation, PR description generation, and documentation are recommended starting points because they carry lower security risk than code generation. A tabletop exercise simulates a prompt injection attack and an accidental PII disclosure to test detection and response capabilities. The first AI Quality Report is published.</w:t>
      </w:r>
    </w:p>
    <w:p>
      <w:pPr>
        <w:pStyle w:val="Heading2"/>
        <w:pBdr>
          <w:bottom w:val="single" w:color="0D6E6E" w:sz="4" w:space="4"/>
        </w:pBdr>
        <w:spacing w:after="120" w:before="320"/>
      </w:pPr>
      <w:r>
        <w:rPr>
          <w:rFonts w:ascii="Calibri" w:cs="Calibri" w:eastAsia="Calibri" w:hAnsi="Calibri"/>
          <w:b/>
          <w:bCs/>
          <w:color w:val="0D6E6E"/>
          <w:sz w:val="28"/>
          <w:szCs w:val="28"/>
        </w:rPr>
        <w:t xml:space="preserve">Days 61–90: Client Work and Continuous Improvement</w:t>
      </w:r>
    </w:p>
    <w:p>
      <w:pPr>
        <w:spacing w:after="120" w:before="80" w:line="320"/>
        <w:jc w:val="both"/>
      </w:pPr>
      <w:r>
        <w:rPr>
          <w:rFonts w:ascii="Georgia" w:cs="Georgia" w:eastAsia="Georgia" w:hAnsi="Georgia"/>
          <w:color w:val="1A1A1A"/>
          <w:sz w:val="22"/>
          <w:szCs w:val="22"/>
        </w:rPr>
        <w:t xml:space="preserve">The final month integrates the framework into client engagement processes and establishes the feedback loops that will sustain it. The AI Usage Disclosure clause is added to the MSA template with Legal review. DPA status is confirmed for all Tier 3 and above tools used on active client projects. Client-specific Compliance Context File templates are published for the most common regulatory environments.</w:t>
      </w:r>
    </w:p>
    <w:p>
      <w:pPr>
        <w:spacing w:after="120" w:before="80" w:line="320"/>
        <w:jc w:val="both"/>
      </w:pPr>
      <w:r>
        <w:rPr>
          <w:rFonts w:ascii="Georgia" w:cs="Georgia" w:eastAsia="Georgia" w:hAnsi="Georgia"/>
          <w:color w:val="1A1A1A"/>
          <w:sz w:val="22"/>
          <w:szCs w:val="22"/>
        </w:rPr>
        <w:t xml:space="preserve">A retrospective with AI Champions identifies what is working and what is creating unnecessary friction. The prompt library is updated based on the first 60 days of usage data. Version 1.1 of this framework is published based on the learnings.</w:t>
      </w:r>
    </w:p>
    <w:p>
      <w:pPr>
        <w:pBdr>
          <w:left w:val="single" w:color="0D6E6E" w:sz="16" w:space="8"/>
        </w:pBdr>
        <w:shd w:fill="E8F1F8" w:val="clear"/>
        <w:spacing w:after="160" w:before="160" w:line="320"/>
        <w:ind w:left="360" w:right="360"/>
      </w:pPr>
      <w:r>
        <w:rPr>
          <w:rFonts w:ascii="Georgia" w:cs="Georgia" w:eastAsia="Georgia" w:hAnsi="Georgia"/>
          <w:i/>
          <w:iCs/>
          <w:color w:val="1B2A4A"/>
          <w:sz w:val="22"/>
          <w:szCs w:val="22"/>
        </w:rPr>
        <w:t xml:space="preserve">The 90-day milestone is not completion — it is operational. The framework becomes more effective over time as the prompt library matures, as AI Quality Reports reveal improvement opportunities, and as the organisation accumulates institutional knowledge about how to work securely with AI at scale.</w:t>
      </w:r>
    </w:p>
    <w:p>
      <w:pPr>
        <w:spacing w:after="0" w:before="0"/>
      </w:pPr>
      <w:r>
        <w:br w:type="page"/>
      </w:r>
    </w:p>
    <w:p>
      <w:pPr>
        <w:spacing w:after="0" w:before="240"/>
      </w:pPr>
    </w:p>
    <w:p>
      <w:pPr>
        <w:spacing w:after="60" w:before="0"/>
      </w:pPr>
      <w:r>
        <w:rPr>
          <w:rFonts w:ascii="Calibri" w:cs="Calibri" w:eastAsia="Calibri" w:hAnsi="Calibri"/>
          <w:b/>
          <w:bCs/>
          <w:color w:val="0D6E6E"/>
          <w:sz w:val="13"/>
          <w:szCs w:val="13"/>
        </w:rPr>
        <w:t xml:space="preserve">13  </w:t>
      </w:r>
      <w:r>
        <w:rPr>
          <w:rFonts w:ascii="Calibri" w:cs="Calibri" w:eastAsia="Calibri" w:hAnsi="Calibri"/>
          <w:b/>
          <w:bCs/>
          <w:color w:val="4A4A4A"/>
          <w:sz w:val="13"/>
          <w:szCs w:val="13"/>
        </w:rPr>
        <w:t xml:space="preserve">INCIDENT RESPONSE FOR AI-RELATED EVENTS</w:t>
      </w:r>
    </w:p>
    <w:p>
      <w:pPr>
        <w:pStyle w:val="Heading1"/>
        <w:pBdr>
          <w:bottom w:val="single" w:color="0D6E6E" w:sz="6"/>
        </w:pBdr>
        <w:shd w:fill="1B2A4A" w:val="clear"/>
        <w:spacing w:after="200" w:before="0"/>
        <w:ind w:left="240" w:right="240"/>
      </w:pPr>
      <w:r>
        <w:rPr>
          <w:rFonts w:ascii="Calibri" w:cs="Calibri" w:eastAsia="Calibri" w:hAnsi="Calibri"/>
          <w:b/>
          <w:bCs/>
          <w:color w:val="FFFFFF"/>
          <w:sz w:val="36"/>
          <w:szCs w:val="36"/>
        </w:rPr>
        <w:t xml:space="preserve">Incident Response for AI-Related Events</w:t>
      </w:r>
    </w:p>
    <w:p>
      <w:pPr>
        <w:spacing w:after="120" w:before="80" w:line="320"/>
        <w:jc w:val="both"/>
      </w:pPr>
      <w:r>
        <w:rPr>
          <w:rFonts w:ascii="Georgia" w:cs="Georgia" w:eastAsia="Georgia" w:hAnsi="Georgia"/>
          <w:color w:val="1A1A1A"/>
          <w:sz w:val="22"/>
          <w:szCs w:val="22"/>
        </w:rPr>
        <w:t xml:space="preserve">AI-specific incidents require a classification framework and response procedure distinct from general security incidents. The following classification scheme and critical path apply.</w:t>
      </w:r>
    </w:p>
    <w:p>
      <w:pPr>
        <w:spacing w:after="0" w:before="100"/>
      </w:pP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00"/>
        <w:gridCol w:w="2400"/>
        <w:gridCol w:w="3206"/>
        <w:gridCol w:w="1400"/>
        <w:gridCol w:w="1600"/>
      </w:tblGrid>
      <w:tr>
        <w:trPr>
          <w:tblHeader/>
        </w:trPr>
        <w:tc>
          <w:tcPr>
            <w:tcW w:type="dxa" w:w="900"/>
            <w:gridSpan w:val="1"/>
            <w:tcBorders>
              <w:top w:val="single" w:color="CCCCCC" w:sz="4"/>
              <w:left w:val="single" w:color="CCCCCC" w:sz="4"/>
              <w:bottom w:val="single" w:color="CCCCCC" w:sz="4"/>
              <w:right w:val="single" w:color="CCCCCC" w:sz="4"/>
            </w:tcBorders>
            <w:shd w:fill="1B2A4A" w:val="clear"/>
            <w:tcMar>
              <w:top w:type="dxa" w:w="80"/>
              <w:left w:type="dxa" w:w="140"/>
              <w:bottom w:type="dxa" w:w="80"/>
              <w:right w:type="dxa" w:w="140"/>
            </w:tcMar>
            <w:vAlign w:val="center"/>
          </w:tcPr>
          <w:p>
            <w:pPr>
              <w:spacing w:after="0" w:before="0"/>
            </w:pPr>
            <w:r>
              <w:rPr>
                <w:rFonts w:ascii="Calibri" w:cs="Calibri" w:eastAsia="Calibri" w:hAnsi="Calibri"/>
                <w:b/>
                <w:bCs/>
                <w:color w:val="FFFFFF"/>
                <w:sz w:val="20"/>
                <w:szCs w:val="20"/>
              </w:rPr>
              <w:t xml:space="preserve">Class</w:t>
            </w:r>
          </w:p>
        </w:tc>
        <w:tc>
          <w:tcPr>
            <w:tcW w:type="dxa" w:w="2400"/>
            <w:gridSpan w:val="1"/>
            <w:tcBorders>
              <w:top w:val="single" w:color="CCCCCC" w:sz="4"/>
              <w:left w:val="single" w:color="CCCCCC" w:sz="4"/>
              <w:bottom w:val="single" w:color="CCCCCC" w:sz="4"/>
              <w:right w:val="single" w:color="CCCCCC" w:sz="4"/>
            </w:tcBorders>
            <w:shd w:fill="1B2A4A" w:val="clear"/>
            <w:tcMar>
              <w:top w:type="dxa" w:w="80"/>
              <w:left w:type="dxa" w:w="140"/>
              <w:bottom w:type="dxa" w:w="80"/>
              <w:right w:type="dxa" w:w="140"/>
            </w:tcMar>
            <w:vAlign w:val="center"/>
          </w:tcPr>
          <w:p>
            <w:pPr>
              <w:spacing w:after="0" w:before="0"/>
            </w:pPr>
            <w:r>
              <w:rPr>
                <w:rFonts w:ascii="Calibri" w:cs="Calibri" w:eastAsia="Calibri" w:hAnsi="Calibri"/>
                <w:b/>
                <w:bCs/>
                <w:color w:val="FFFFFF"/>
                <w:sz w:val="20"/>
                <w:szCs w:val="20"/>
              </w:rPr>
              <w:t xml:space="preserve">Type</w:t>
            </w:r>
          </w:p>
        </w:tc>
        <w:tc>
          <w:tcPr>
            <w:tcW w:type="dxa" w:w="3206"/>
            <w:gridSpan w:val="1"/>
            <w:tcBorders>
              <w:top w:val="single" w:color="CCCCCC" w:sz="4"/>
              <w:left w:val="single" w:color="CCCCCC" w:sz="4"/>
              <w:bottom w:val="single" w:color="CCCCCC" w:sz="4"/>
              <w:right w:val="single" w:color="CCCCCC" w:sz="4"/>
            </w:tcBorders>
            <w:shd w:fill="1B2A4A" w:val="clear"/>
            <w:tcMar>
              <w:top w:type="dxa" w:w="80"/>
              <w:left w:type="dxa" w:w="140"/>
              <w:bottom w:type="dxa" w:w="80"/>
              <w:right w:type="dxa" w:w="140"/>
            </w:tcMar>
            <w:vAlign w:val="center"/>
          </w:tcPr>
          <w:p>
            <w:pPr>
              <w:spacing w:after="0" w:before="0"/>
            </w:pPr>
            <w:r>
              <w:rPr>
                <w:rFonts w:ascii="Calibri" w:cs="Calibri" w:eastAsia="Calibri" w:hAnsi="Calibri"/>
                <w:b/>
                <w:bCs/>
                <w:color w:val="FFFFFF"/>
                <w:sz w:val="20"/>
                <w:szCs w:val="20"/>
              </w:rPr>
              <w:t xml:space="preserve">Example</w:t>
            </w:r>
          </w:p>
        </w:tc>
        <w:tc>
          <w:tcPr>
            <w:tcW w:type="dxa" w:w="1400"/>
            <w:gridSpan w:val="1"/>
            <w:tcBorders>
              <w:top w:val="single" w:color="CCCCCC" w:sz="4"/>
              <w:left w:val="single" w:color="CCCCCC" w:sz="4"/>
              <w:bottom w:val="single" w:color="CCCCCC" w:sz="4"/>
              <w:right w:val="single" w:color="CCCCCC" w:sz="4"/>
            </w:tcBorders>
            <w:shd w:fill="1B2A4A" w:val="clear"/>
            <w:tcMar>
              <w:top w:type="dxa" w:w="80"/>
              <w:left w:type="dxa" w:w="140"/>
              <w:bottom w:type="dxa" w:w="80"/>
              <w:right w:type="dxa" w:w="140"/>
            </w:tcMar>
            <w:vAlign w:val="center"/>
          </w:tcPr>
          <w:p>
            <w:pPr>
              <w:spacing w:after="0" w:before="0"/>
            </w:pPr>
            <w:r>
              <w:rPr>
                <w:rFonts w:ascii="Calibri" w:cs="Calibri" w:eastAsia="Calibri" w:hAnsi="Calibri"/>
                <w:b/>
                <w:bCs/>
                <w:color w:val="FFFFFF"/>
                <w:sz w:val="20"/>
                <w:szCs w:val="20"/>
              </w:rPr>
              <w:t xml:space="preserve">Severity</w:t>
            </w:r>
          </w:p>
        </w:tc>
        <w:tc>
          <w:tcPr>
            <w:tcW w:type="dxa" w:w="1600"/>
            <w:gridSpan w:val="1"/>
            <w:tcBorders>
              <w:top w:val="single" w:color="CCCCCC" w:sz="4"/>
              <w:left w:val="single" w:color="CCCCCC" w:sz="4"/>
              <w:bottom w:val="single" w:color="CCCCCC" w:sz="4"/>
              <w:right w:val="single" w:color="CCCCCC" w:sz="4"/>
            </w:tcBorders>
            <w:shd w:fill="1B2A4A" w:val="clear"/>
            <w:tcMar>
              <w:top w:type="dxa" w:w="80"/>
              <w:left w:type="dxa" w:w="140"/>
              <w:bottom w:type="dxa" w:w="80"/>
              <w:right w:type="dxa" w:w="140"/>
            </w:tcMar>
            <w:vAlign w:val="center"/>
          </w:tcPr>
          <w:p>
            <w:pPr>
              <w:spacing w:after="0" w:before="0"/>
            </w:pPr>
            <w:r>
              <w:rPr>
                <w:rFonts w:ascii="Calibri" w:cs="Calibri" w:eastAsia="Calibri" w:hAnsi="Calibri"/>
                <w:b/>
                <w:bCs/>
                <w:color w:val="FFFFFF"/>
                <w:sz w:val="20"/>
                <w:szCs w:val="20"/>
              </w:rPr>
              <w:t xml:space="preserve">Response SLA</w:t>
            </w:r>
          </w:p>
        </w:tc>
      </w:tr>
      <w:tr>
        <w:tc>
          <w:tcPr>
            <w:tcW w:type="dxa" w:w="90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after="0" w:before="0"/>
            </w:pPr>
            <w:r>
              <w:rPr>
                <w:rFonts w:ascii="Calibri" w:cs="Calibri" w:eastAsia="Calibri" w:hAnsi="Calibri"/>
                <w:b w:val="false"/>
                <w:bCs w:val="false"/>
                <w:color w:val="1A1A1A"/>
                <w:sz w:val="20"/>
                <w:szCs w:val="20"/>
              </w:rPr>
              <w:t xml:space="preserve">AI-P1</w:t>
            </w:r>
          </w:p>
        </w:tc>
        <w:tc>
          <w:tcPr>
            <w:tcW w:type="dxa" w:w="240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after="0" w:before="0"/>
            </w:pPr>
            <w:r>
              <w:rPr>
                <w:rFonts w:ascii="Calibri" w:cs="Calibri" w:eastAsia="Calibri" w:hAnsi="Calibri"/>
                <w:b w:val="false"/>
                <w:bCs w:val="false"/>
                <w:color w:val="1A1A1A"/>
                <w:sz w:val="20"/>
                <w:szCs w:val="20"/>
              </w:rPr>
              <w:t xml:space="preserve">Data Exfiltration</w:t>
            </w:r>
          </w:p>
        </w:tc>
        <w:tc>
          <w:tcPr>
            <w:tcW w:type="dxa" w:w="3206"/>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after="0" w:before="0"/>
            </w:pPr>
            <w:r>
              <w:rPr>
                <w:rFonts w:ascii="Calibri" w:cs="Calibri" w:eastAsia="Calibri" w:hAnsi="Calibri"/>
                <w:b w:val="false"/>
                <w:bCs w:val="false"/>
                <w:color w:val="1A1A1A"/>
                <w:sz w:val="20"/>
                <w:szCs w:val="20"/>
              </w:rPr>
              <w:t xml:space="preserve">Client PII transmitted to external LLM provider</w:t>
            </w:r>
          </w:p>
        </w:tc>
        <w:tc>
          <w:tcPr>
            <w:tcW w:type="dxa" w:w="140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after="0" w:before="0"/>
            </w:pPr>
            <w:r>
              <w:rPr>
                <w:rFonts w:ascii="Calibri" w:cs="Calibri" w:eastAsia="Calibri" w:hAnsi="Calibri"/>
                <w:b w:val="false"/>
                <w:bCs w:val="false"/>
                <w:color w:val="1A1A1A"/>
                <w:sz w:val="20"/>
                <w:szCs w:val="20"/>
              </w:rPr>
              <w:t xml:space="preserve">Critical</w:t>
            </w:r>
          </w:p>
        </w:tc>
        <w:tc>
          <w:tcPr>
            <w:tcW w:type="dxa" w:w="160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after="0" w:before="0"/>
            </w:pPr>
            <w:r>
              <w:rPr>
                <w:rFonts w:ascii="Calibri" w:cs="Calibri" w:eastAsia="Calibri" w:hAnsi="Calibri"/>
                <w:b w:val="false"/>
                <w:bCs w:val="false"/>
                <w:color w:val="1A1A1A"/>
                <w:sz w:val="20"/>
                <w:szCs w:val="20"/>
              </w:rPr>
              <w:t xml:space="preserve">1 hour</w:t>
            </w:r>
          </w:p>
        </w:tc>
      </w:tr>
      <w:tr>
        <w:tc>
          <w:tcPr>
            <w:tcW w:type="dxa" w:w="900"/>
            <w:gridSpan w:val="1"/>
            <w:tcBorders>
              <w:top w:val="single" w:color="CCCCCC" w:sz="4"/>
              <w:left w:val="single" w:color="CCCCCC" w:sz="4"/>
              <w:bottom w:val="single" w:color="CCCCCC" w:sz="4"/>
              <w:right w:val="single" w:color="CCCCCC" w:sz="4"/>
            </w:tcBorders>
            <w:shd w:fill="F4F6F8" w:val="clear"/>
            <w:tcMar>
              <w:top w:type="dxa" w:w="80"/>
              <w:left w:type="dxa" w:w="140"/>
              <w:bottom w:type="dxa" w:w="80"/>
              <w:right w:type="dxa" w:w="140"/>
            </w:tcMar>
            <w:vAlign w:val="center"/>
          </w:tcPr>
          <w:p>
            <w:pPr>
              <w:spacing w:after="0" w:before="0"/>
            </w:pPr>
            <w:r>
              <w:rPr>
                <w:rFonts w:ascii="Calibri" w:cs="Calibri" w:eastAsia="Calibri" w:hAnsi="Calibri"/>
                <w:b w:val="false"/>
                <w:bCs w:val="false"/>
                <w:color w:val="1A1A1A"/>
                <w:sz w:val="20"/>
                <w:szCs w:val="20"/>
              </w:rPr>
              <w:t xml:space="preserve">AI-P1</w:t>
            </w:r>
          </w:p>
        </w:tc>
        <w:tc>
          <w:tcPr>
            <w:tcW w:type="dxa" w:w="2400"/>
            <w:gridSpan w:val="1"/>
            <w:tcBorders>
              <w:top w:val="single" w:color="CCCCCC" w:sz="4"/>
              <w:left w:val="single" w:color="CCCCCC" w:sz="4"/>
              <w:bottom w:val="single" w:color="CCCCCC" w:sz="4"/>
              <w:right w:val="single" w:color="CCCCCC" w:sz="4"/>
            </w:tcBorders>
            <w:shd w:fill="F4F6F8" w:val="clear"/>
            <w:tcMar>
              <w:top w:type="dxa" w:w="80"/>
              <w:left w:type="dxa" w:w="140"/>
              <w:bottom w:type="dxa" w:w="80"/>
              <w:right w:type="dxa" w:w="140"/>
            </w:tcMar>
            <w:vAlign w:val="center"/>
          </w:tcPr>
          <w:p>
            <w:pPr>
              <w:spacing w:after="0" w:before="0"/>
            </w:pPr>
            <w:r>
              <w:rPr>
                <w:rFonts w:ascii="Calibri" w:cs="Calibri" w:eastAsia="Calibri" w:hAnsi="Calibri"/>
                <w:b w:val="false"/>
                <w:bCs w:val="false"/>
                <w:color w:val="1A1A1A"/>
                <w:sz w:val="20"/>
                <w:szCs w:val="20"/>
              </w:rPr>
              <w:t xml:space="preserve">Agent Compromise</w:t>
            </w:r>
          </w:p>
        </w:tc>
        <w:tc>
          <w:tcPr>
            <w:tcW w:type="dxa" w:w="3206"/>
            <w:gridSpan w:val="1"/>
            <w:tcBorders>
              <w:top w:val="single" w:color="CCCCCC" w:sz="4"/>
              <w:left w:val="single" w:color="CCCCCC" w:sz="4"/>
              <w:bottom w:val="single" w:color="CCCCCC" w:sz="4"/>
              <w:right w:val="single" w:color="CCCCCC" w:sz="4"/>
            </w:tcBorders>
            <w:shd w:fill="F4F6F8" w:val="clear"/>
            <w:tcMar>
              <w:top w:type="dxa" w:w="80"/>
              <w:left w:type="dxa" w:w="140"/>
              <w:bottom w:type="dxa" w:w="80"/>
              <w:right w:type="dxa" w:w="140"/>
            </w:tcMar>
            <w:vAlign w:val="center"/>
          </w:tcPr>
          <w:p>
            <w:pPr>
              <w:spacing w:after="0" w:before="0"/>
            </w:pPr>
            <w:r>
              <w:rPr>
                <w:rFonts w:ascii="Calibri" w:cs="Calibri" w:eastAsia="Calibri" w:hAnsi="Calibri"/>
                <w:b w:val="false"/>
                <w:bCs w:val="false"/>
                <w:color w:val="1A1A1A"/>
                <w:sz w:val="20"/>
                <w:szCs w:val="20"/>
              </w:rPr>
              <w:t xml:space="preserve">Agent gained unauthorised production access</w:t>
            </w:r>
          </w:p>
        </w:tc>
        <w:tc>
          <w:tcPr>
            <w:tcW w:type="dxa" w:w="1400"/>
            <w:gridSpan w:val="1"/>
            <w:tcBorders>
              <w:top w:val="single" w:color="CCCCCC" w:sz="4"/>
              <w:left w:val="single" w:color="CCCCCC" w:sz="4"/>
              <w:bottom w:val="single" w:color="CCCCCC" w:sz="4"/>
              <w:right w:val="single" w:color="CCCCCC" w:sz="4"/>
            </w:tcBorders>
            <w:shd w:fill="F4F6F8" w:val="clear"/>
            <w:tcMar>
              <w:top w:type="dxa" w:w="80"/>
              <w:left w:type="dxa" w:w="140"/>
              <w:bottom w:type="dxa" w:w="80"/>
              <w:right w:type="dxa" w:w="140"/>
            </w:tcMar>
            <w:vAlign w:val="center"/>
          </w:tcPr>
          <w:p>
            <w:pPr>
              <w:spacing w:after="0" w:before="0"/>
            </w:pPr>
            <w:r>
              <w:rPr>
                <w:rFonts w:ascii="Calibri" w:cs="Calibri" w:eastAsia="Calibri" w:hAnsi="Calibri"/>
                <w:b w:val="false"/>
                <w:bCs w:val="false"/>
                <w:color w:val="1A1A1A"/>
                <w:sz w:val="20"/>
                <w:szCs w:val="20"/>
              </w:rPr>
              <w:t xml:space="preserve">Critical</w:t>
            </w:r>
          </w:p>
        </w:tc>
        <w:tc>
          <w:tcPr>
            <w:tcW w:type="dxa" w:w="1600"/>
            <w:gridSpan w:val="1"/>
            <w:tcBorders>
              <w:top w:val="single" w:color="CCCCCC" w:sz="4"/>
              <w:left w:val="single" w:color="CCCCCC" w:sz="4"/>
              <w:bottom w:val="single" w:color="CCCCCC" w:sz="4"/>
              <w:right w:val="single" w:color="CCCCCC" w:sz="4"/>
            </w:tcBorders>
            <w:shd w:fill="F4F6F8" w:val="clear"/>
            <w:tcMar>
              <w:top w:type="dxa" w:w="80"/>
              <w:left w:type="dxa" w:w="140"/>
              <w:bottom w:type="dxa" w:w="80"/>
              <w:right w:type="dxa" w:w="140"/>
            </w:tcMar>
            <w:vAlign w:val="center"/>
          </w:tcPr>
          <w:p>
            <w:pPr>
              <w:spacing w:after="0" w:before="0"/>
            </w:pPr>
            <w:r>
              <w:rPr>
                <w:rFonts w:ascii="Calibri" w:cs="Calibri" w:eastAsia="Calibri" w:hAnsi="Calibri"/>
                <w:b w:val="false"/>
                <w:bCs w:val="false"/>
                <w:color w:val="1A1A1A"/>
                <w:sz w:val="20"/>
                <w:szCs w:val="20"/>
              </w:rPr>
              <w:t xml:space="preserve">1 hour</w:t>
            </w:r>
          </w:p>
        </w:tc>
      </w:tr>
      <w:tr>
        <w:tc>
          <w:tcPr>
            <w:tcW w:type="dxa" w:w="90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after="0" w:before="0"/>
            </w:pPr>
            <w:r>
              <w:rPr>
                <w:rFonts w:ascii="Calibri" w:cs="Calibri" w:eastAsia="Calibri" w:hAnsi="Calibri"/>
                <w:b w:val="false"/>
                <w:bCs w:val="false"/>
                <w:color w:val="1A1A1A"/>
                <w:sz w:val="20"/>
                <w:szCs w:val="20"/>
              </w:rPr>
              <w:t xml:space="preserve">AI-P2</w:t>
            </w:r>
          </w:p>
        </w:tc>
        <w:tc>
          <w:tcPr>
            <w:tcW w:type="dxa" w:w="240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after="0" w:before="0"/>
            </w:pPr>
            <w:r>
              <w:rPr>
                <w:rFonts w:ascii="Calibri" w:cs="Calibri" w:eastAsia="Calibri" w:hAnsi="Calibri"/>
                <w:b w:val="false"/>
                <w:bCs w:val="false"/>
                <w:color w:val="1A1A1A"/>
                <w:sz w:val="20"/>
                <w:szCs w:val="20"/>
              </w:rPr>
              <w:t xml:space="preserve">Merged Vulnerability</w:t>
            </w:r>
          </w:p>
        </w:tc>
        <w:tc>
          <w:tcPr>
            <w:tcW w:type="dxa" w:w="3206"/>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after="0" w:before="0"/>
            </w:pPr>
            <w:r>
              <w:rPr>
                <w:rFonts w:ascii="Calibri" w:cs="Calibri" w:eastAsia="Calibri" w:hAnsi="Calibri"/>
                <w:b w:val="false"/>
                <w:bCs w:val="false"/>
                <w:color w:val="1A1A1A"/>
                <w:sz w:val="20"/>
                <w:szCs w:val="20"/>
              </w:rPr>
              <w:t xml:space="preserve">Security flaw in AI-generated code reached production</w:t>
            </w:r>
          </w:p>
        </w:tc>
        <w:tc>
          <w:tcPr>
            <w:tcW w:type="dxa" w:w="140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after="0" w:before="0"/>
            </w:pPr>
            <w:r>
              <w:rPr>
                <w:rFonts w:ascii="Calibri" w:cs="Calibri" w:eastAsia="Calibri" w:hAnsi="Calibri"/>
                <w:b w:val="false"/>
                <w:bCs w:val="false"/>
                <w:color w:val="1A1A1A"/>
                <w:sz w:val="20"/>
                <w:szCs w:val="20"/>
              </w:rPr>
              <w:t xml:space="preserve">High</w:t>
            </w:r>
          </w:p>
        </w:tc>
        <w:tc>
          <w:tcPr>
            <w:tcW w:type="dxa" w:w="160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after="0" w:before="0"/>
            </w:pPr>
            <w:r>
              <w:rPr>
                <w:rFonts w:ascii="Calibri" w:cs="Calibri" w:eastAsia="Calibri" w:hAnsi="Calibri"/>
                <w:b w:val="false"/>
                <w:bCs w:val="false"/>
                <w:color w:val="1A1A1A"/>
                <w:sz w:val="20"/>
                <w:szCs w:val="20"/>
              </w:rPr>
              <w:t xml:space="preserve">4 hours</w:t>
            </w:r>
          </w:p>
        </w:tc>
      </w:tr>
      <w:tr>
        <w:tc>
          <w:tcPr>
            <w:tcW w:type="dxa" w:w="900"/>
            <w:gridSpan w:val="1"/>
            <w:tcBorders>
              <w:top w:val="single" w:color="CCCCCC" w:sz="4"/>
              <w:left w:val="single" w:color="CCCCCC" w:sz="4"/>
              <w:bottom w:val="single" w:color="CCCCCC" w:sz="4"/>
              <w:right w:val="single" w:color="CCCCCC" w:sz="4"/>
            </w:tcBorders>
            <w:shd w:fill="F4F6F8" w:val="clear"/>
            <w:tcMar>
              <w:top w:type="dxa" w:w="80"/>
              <w:left w:type="dxa" w:w="140"/>
              <w:bottom w:type="dxa" w:w="80"/>
              <w:right w:type="dxa" w:w="140"/>
            </w:tcMar>
            <w:vAlign w:val="center"/>
          </w:tcPr>
          <w:p>
            <w:pPr>
              <w:spacing w:after="0" w:before="0"/>
            </w:pPr>
            <w:r>
              <w:rPr>
                <w:rFonts w:ascii="Calibri" w:cs="Calibri" w:eastAsia="Calibri" w:hAnsi="Calibri"/>
                <w:b w:val="false"/>
                <w:bCs w:val="false"/>
                <w:color w:val="1A1A1A"/>
                <w:sz w:val="20"/>
                <w:szCs w:val="20"/>
              </w:rPr>
              <w:t xml:space="preserve">AI-P2</w:t>
            </w:r>
          </w:p>
        </w:tc>
        <w:tc>
          <w:tcPr>
            <w:tcW w:type="dxa" w:w="2400"/>
            <w:gridSpan w:val="1"/>
            <w:tcBorders>
              <w:top w:val="single" w:color="CCCCCC" w:sz="4"/>
              <w:left w:val="single" w:color="CCCCCC" w:sz="4"/>
              <w:bottom w:val="single" w:color="CCCCCC" w:sz="4"/>
              <w:right w:val="single" w:color="CCCCCC" w:sz="4"/>
            </w:tcBorders>
            <w:shd w:fill="F4F6F8" w:val="clear"/>
            <w:tcMar>
              <w:top w:type="dxa" w:w="80"/>
              <w:left w:type="dxa" w:w="140"/>
              <w:bottom w:type="dxa" w:w="80"/>
              <w:right w:type="dxa" w:w="140"/>
            </w:tcMar>
            <w:vAlign w:val="center"/>
          </w:tcPr>
          <w:p>
            <w:pPr>
              <w:spacing w:after="0" w:before="0"/>
            </w:pPr>
            <w:r>
              <w:rPr>
                <w:rFonts w:ascii="Calibri" w:cs="Calibri" w:eastAsia="Calibri" w:hAnsi="Calibri"/>
                <w:b w:val="false"/>
                <w:bCs w:val="false"/>
                <w:color w:val="1A1A1A"/>
                <w:sz w:val="20"/>
                <w:szCs w:val="20"/>
              </w:rPr>
              <w:t xml:space="preserve">Credential Exposure</w:t>
            </w:r>
          </w:p>
        </w:tc>
        <w:tc>
          <w:tcPr>
            <w:tcW w:type="dxa" w:w="3206"/>
            <w:gridSpan w:val="1"/>
            <w:tcBorders>
              <w:top w:val="single" w:color="CCCCCC" w:sz="4"/>
              <w:left w:val="single" w:color="CCCCCC" w:sz="4"/>
              <w:bottom w:val="single" w:color="CCCCCC" w:sz="4"/>
              <w:right w:val="single" w:color="CCCCCC" w:sz="4"/>
            </w:tcBorders>
            <w:shd w:fill="F4F6F8" w:val="clear"/>
            <w:tcMar>
              <w:top w:type="dxa" w:w="80"/>
              <w:left w:type="dxa" w:w="140"/>
              <w:bottom w:type="dxa" w:w="80"/>
              <w:right w:type="dxa" w:w="140"/>
            </w:tcMar>
            <w:vAlign w:val="center"/>
          </w:tcPr>
          <w:p>
            <w:pPr>
              <w:spacing w:after="0" w:before="0"/>
            </w:pPr>
            <w:r>
              <w:rPr>
                <w:rFonts w:ascii="Calibri" w:cs="Calibri" w:eastAsia="Calibri" w:hAnsi="Calibri"/>
                <w:b w:val="false"/>
                <w:bCs w:val="false"/>
                <w:color w:val="1A1A1A"/>
                <w:sz w:val="20"/>
                <w:szCs w:val="20"/>
              </w:rPr>
              <w:t xml:space="preserve">Secret or API key found in prompt audit log</w:t>
            </w:r>
          </w:p>
        </w:tc>
        <w:tc>
          <w:tcPr>
            <w:tcW w:type="dxa" w:w="1400"/>
            <w:gridSpan w:val="1"/>
            <w:tcBorders>
              <w:top w:val="single" w:color="CCCCCC" w:sz="4"/>
              <w:left w:val="single" w:color="CCCCCC" w:sz="4"/>
              <w:bottom w:val="single" w:color="CCCCCC" w:sz="4"/>
              <w:right w:val="single" w:color="CCCCCC" w:sz="4"/>
            </w:tcBorders>
            <w:shd w:fill="F4F6F8" w:val="clear"/>
            <w:tcMar>
              <w:top w:type="dxa" w:w="80"/>
              <w:left w:type="dxa" w:w="140"/>
              <w:bottom w:type="dxa" w:w="80"/>
              <w:right w:type="dxa" w:w="140"/>
            </w:tcMar>
            <w:vAlign w:val="center"/>
          </w:tcPr>
          <w:p>
            <w:pPr>
              <w:spacing w:after="0" w:before="0"/>
            </w:pPr>
            <w:r>
              <w:rPr>
                <w:rFonts w:ascii="Calibri" w:cs="Calibri" w:eastAsia="Calibri" w:hAnsi="Calibri"/>
                <w:b w:val="false"/>
                <w:bCs w:val="false"/>
                <w:color w:val="1A1A1A"/>
                <w:sz w:val="20"/>
                <w:szCs w:val="20"/>
              </w:rPr>
              <w:t xml:space="preserve">High</w:t>
            </w:r>
          </w:p>
        </w:tc>
        <w:tc>
          <w:tcPr>
            <w:tcW w:type="dxa" w:w="1600"/>
            <w:gridSpan w:val="1"/>
            <w:tcBorders>
              <w:top w:val="single" w:color="CCCCCC" w:sz="4"/>
              <w:left w:val="single" w:color="CCCCCC" w:sz="4"/>
              <w:bottom w:val="single" w:color="CCCCCC" w:sz="4"/>
              <w:right w:val="single" w:color="CCCCCC" w:sz="4"/>
            </w:tcBorders>
            <w:shd w:fill="F4F6F8" w:val="clear"/>
            <w:tcMar>
              <w:top w:type="dxa" w:w="80"/>
              <w:left w:type="dxa" w:w="140"/>
              <w:bottom w:type="dxa" w:w="80"/>
              <w:right w:type="dxa" w:w="140"/>
            </w:tcMar>
            <w:vAlign w:val="center"/>
          </w:tcPr>
          <w:p>
            <w:pPr>
              <w:spacing w:after="0" w:before="0"/>
            </w:pPr>
            <w:r>
              <w:rPr>
                <w:rFonts w:ascii="Calibri" w:cs="Calibri" w:eastAsia="Calibri" w:hAnsi="Calibri"/>
                <w:b w:val="false"/>
                <w:bCs w:val="false"/>
                <w:color w:val="1A1A1A"/>
                <w:sz w:val="20"/>
                <w:szCs w:val="20"/>
              </w:rPr>
              <w:t xml:space="preserve">4 hours</w:t>
            </w:r>
          </w:p>
        </w:tc>
      </w:tr>
      <w:tr>
        <w:tc>
          <w:tcPr>
            <w:tcW w:type="dxa" w:w="90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after="0" w:before="0"/>
            </w:pPr>
            <w:r>
              <w:rPr>
                <w:rFonts w:ascii="Calibri" w:cs="Calibri" w:eastAsia="Calibri" w:hAnsi="Calibri"/>
                <w:b w:val="false"/>
                <w:bCs w:val="false"/>
                <w:color w:val="1A1A1A"/>
                <w:sz w:val="20"/>
                <w:szCs w:val="20"/>
              </w:rPr>
              <w:t xml:space="preserve">AI-P3</w:t>
            </w:r>
          </w:p>
        </w:tc>
        <w:tc>
          <w:tcPr>
            <w:tcW w:type="dxa" w:w="240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after="0" w:before="0"/>
            </w:pPr>
            <w:r>
              <w:rPr>
                <w:rFonts w:ascii="Calibri" w:cs="Calibri" w:eastAsia="Calibri" w:hAnsi="Calibri"/>
                <w:b w:val="false"/>
                <w:bCs w:val="false"/>
                <w:color w:val="1A1A1A"/>
                <w:sz w:val="20"/>
                <w:szCs w:val="20"/>
              </w:rPr>
              <w:t xml:space="preserve">Shadow AI</w:t>
            </w:r>
          </w:p>
        </w:tc>
        <w:tc>
          <w:tcPr>
            <w:tcW w:type="dxa" w:w="3206"/>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after="0" w:before="0"/>
            </w:pPr>
            <w:r>
              <w:rPr>
                <w:rFonts w:ascii="Calibri" w:cs="Calibri" w:eastAsia="Calibri" w:hAnsi="Calibri"/>
                <w:b w:val="false"/>
                <w:bCs w:val="false"/>
                <w:color w:val="1A1A1A"/>
                <w:sz w:val="20"/>
                <w:szCs w:val="20"/>
              </w:rPr>
              <w:t xml:space="preserve">Unapproved tool used on client work</w:t>
            </w:r>
          </w:p>
        </w:tc>
        <w:tc>
          <w:tcPr>
            <w:tcW w:type="dxa" w:w="140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after="0" w:before="0"/>
            </w:pPr>
            <w:r>
              <w:rPr>
                <w:rFonts w:ascii="Calibri" w:cs="Calibri" w:eastAsia="Calibri" w:hAnsi="Calibri"/>
                <w:b w:val="false"/>
                <w:bCs w:val="false"/>
                <w:color w:val="1A1A1A"/>
                <w:sz w:val="20"/>
                <w:szCs w:val="20"/>
              </w:rPr>
              <w:t xml:space="preserve">Medium</w:t>
            </w:r>
          </w:p>
        </w:tc>
        <w:tc>
          <w:tcPr>
            <w:tcW w:type="dxa" w:w="160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after="0" w:before="0"/>
            </w:pPr>
            <w:r>
              <w:rPr>
                <w:rFonts w:ascii="Calibri" w:cs="Calibri" w:eastAsia="Calibri" w:hAnsi="Calibri"/>
                <w:b w:val="false"/>
                <w:bCs w:val="false"/>
                <w:color w:val="1A1A1A"/>
                <w:sz w:val="20"/>
                <w:szCs w:val="20"/>
              </w:rPr>
              <w:t xml:space="preserve">24 hours</w:t>
            </w:r>
          </w:p>
        </w:tc>
      </w:tr>
      <w:tr>
        <w:tc>
          <w:tcPr>
            <w:tcW w:type="dxa" w:w="900"/>
            <w:gridSpan w:val="1"/>
            <w:tcBorders>
              <w:top w:val="single" w:color="CCCCCC" w:sz="4"/>
              <w:left w:val="single" w:color="CCCCCC" w:sz="4"/>
              <w:bottom w:val="single" w:color="CCCCCC" w:sz="4"/>
              <w:right w:val="single" w:color="CCCCCC" w:sz="4"/>
            </w:tcBorders>
            <w:shd w:fill="F4F6F8" w:val="clear"/>
            <w:tcMar>
              <w:top w:type="dxa" w:w="80"/>
              <w:left w:type="dxa" w:w="140"/>
              <w:bottom w:type="dxa" w:w="80"/>
              <w:right w:type="dxa" w:w="140"/>
            </w:tcMar>
            <w:vAlign w:val="center"/>
          </w:tcPr>
          <w:p>
            <w:pPr>
              <w:spacing w:after="0" w:before="0"/>
            </w:pPr>
            <w:r>
              <w:rPr>
                <w:rFonts w:ascii="Calibri" w:cs="Calibri" w:eastAsia="Calibri" w:hAnsi="Calibri"/>
                <w:b w:val="false"/>
                <w:bCs w:val="false"/>
                <w:color w:val="1A1A1A"/>
                <w:sz w:val="20"/>
                <w:szCs w:val="20"/>
              </w:rPr>
              <w:t xml:space="preserve">AI-P3</w:t>
            </w:r>
          </w:p>
        </w:tc>
        <w:tc>
          <w:tcPr>
            <w:tcW w:type="dxa" w:w="2400"/>
            <w:gridSpan w:val="1"/>
            <w:tcBorders>
              <w:top w:val="single" w:color="CCCCCC" w:sz="4"/>
              <w:left w:val="single" w:color="CCCCCC" w:sz="4"/>
              <w:bottom w:val="single" w:color="CCCCCC" w:sz="4"/>
              <w:right w:val="single" w:color="CCCCCC" w:sz="4"/>
            </w:tcBorders>
            <w:shd w:fill="F4F6F8" w:val="clear"/>
            <w:tcMar>
              <w:top w:type="dxa" w:w="80"/>
              <w:left w:type="dxa" w:w="140"/>
              <w:bottom w:type="dxa" w:w="80"/>
              <w:right w:type="dxa" w:w="140"/>
            </w:tcMar>
            <w:vAlign w:val="center"/>
          </w:tcPr>
          <w:p>
            <w:pPr>
              <w:spacing w:after="0" w:before="0"/>
            </w:pPr>
            <w:r>
              <w:rPr>
                <w:rFonts w:ascii="Calibri" w:cs="Calibri" w:eastAsia="Calibri" w:hAnsi="Calibri"/>
                <w:b w:val="false"/>
                <w:bCs w:val="false"/>
                <w:color w:val="1A1A1A"/>
                <w:sz w:val="20"/>
                <w:szCs w:val="20"/>
              </w:rPr>
              <w:t xml:space="preserve">Agent Loop</w:t>
            </w:r>
          </w:p>
        </w:tc>
        <w:tc>
          <w:tcPr>
            <w:tcW w:type="dxa" w:w="3206"/>
            <w:gridSpan w:val="1"/>
            <w:tcBorders>
              <w:top w:val="single" w:color="CCCCCC" w:sz="4"/>
              <w:left w:val="single" w:color="CCCCCC" w:sz="4"/>
              <w:bottom w:val="single" w:color="CCCCCC" w:sz="4"/>
              <w:right w:val="single" w:color="CCCCCC" w:sz="4"/>
            </w:tcBorders>
            <w:shd w:fill="F4F6F8" w:val="clear"/>
            <w:tcMar>
              <w:top w:type="dxa" w:w="80"/>
              <w:left w:type="dxa" w:w="140"/>
              <w:bottom w:type="dxa" w:w="80"/>
              <w:right w:type="dxa" w:w="140"/>
            </w:tcMar>
            <w:vAlign w:val="center"/>
          </w:tcPr>
          <w:p>
            <w:pPr>
              <w:spacing w:after="0" w:before="0"/>
            </w:pPr>
            <w:r>
              <w:rPr>
                <w:rFonts w:ascii="Calibri" w:cs="Calibri" w:eastAsia="Calibri" w:hAnsi="Calibri"/>
                <w:b w:val="false"/>
                <w:bCs w:val="false"/>
                <w:color w:val="1A1A1A"/>
                <w:sz w:val="20"/>
                <w:szCs w:val="20"/>
              </w:rPr>
              <w:t xml:space="preserve">Runaway agent causing unexpected API spend</w:t>
            </w:r>
          </w:p>
        </w:tc>
        <w:tc>
          <w:tcPr>
            <w:tcW w:type="dxa" w:w="1400"/>
            <w:gridSpan w:val="1"/>
            <w:tcBorders>
              <w:top w:val="single" w:color="CCCCCC" w:sz="4"/>
              <w:left w:val="single" w:color="CCCCCC" w:sz="4"/>
              <w:bottom w:val="single" w:color="CCCCCC" w:sz="4"/>
              <w:right w:val="single" w:color="CCCCCC" w:sz="4"/>
            </w:tcBorders>
            <w:shd w:fill="F4F6F8" w:val="clear"/>
            <w:tcMar>
              <w:top w:type="dxa" w:w="80"/>
              <w:left w:type="dxa" w:w="140"/>
              <w:bottom w:type="dxa" w:w="80"/>
              <w:right w:type="dxa" w:w="140"/>
            </w:tcMar>
            <w:vAlign w:val="center"/>
          </w:tcPr>
          <w:p>
            <w:pPr>
              <w:spacing w:after="0" w:before="0"/>
            </w:pPr>
            <w:r>
              <w:rPr>
                <w:rFonts w:ascii="Calibri" w:cs="Calibri" w:eastAsia="Calibri" w:hAnsi="Calibri"/>
                <w:b w:val="false"/>
                <w:bCs w:val="false"/>
                <w:color w:val="1A1A1A"/>
                <w:sz w:val="20"/>
                <w:szCs w:val="20"/>
              </w:rPr>
              <w:t xml:space="preserve">Medium</w:t>
            </w:r>
          </w:p>
        </w:tc>
        <w:tc>
          <w:tcPr>
            <w:tcW w:type="dxa" w:w="1600"/>
            <w:gridSpan w:val="1"/>
            <w:tcBorders>
              <w:top w:val="single" w:color="CCCCCC" w:sz="4"/>
              <w:left w:val="single" w:color="CCCCCC" w:sz="4"/>
              <w:bottom w:val="single" w:color="CCCCCC" w:sz="4"/>
              <w:right w:val="single" w:color="CCCCCC" w:sz="4"/>
            </w:tcBorders>
            <w:shd w:fill="F4F6F8" w:val="clear"/>
            <w:tcMar>
              <w:top w:type="dxa" w:w="80"/>
              <w:left w:type="dxa" w:w="140"/>
              <w:bottom w:type="dxa" w:w="80"/>
              <w:right w:type="dxa" w:w="140"/>
            </w:tcMar>
            <w:vAlign w:val="center"/>
          </w:tcPr>
          <w:p>
            <w:pPr>
              <w:spacing w:after="0" w:before="0"/>
            </w:pPr>
            <w:r>
              <w:rPr>
                <w:rFonts w:ascii="Calibri" w:cs="Calibri" w:eastAsia="Calibri" w:hAnsi="Calibri"/>
                <w:b w:val="false"/>
                <w:bCs w:val="false"/>
                <w:color w:val="1A1A1A"/>
                <w:sz w:val="20"/>
                <w:szCs w:val="20"/>
              </w:rPr>
              <w:t xml:space="preserve">24 hours</w:t>
            </w:r>
          </w:p>
        </w:tc>
      </w:tr>
      <w:tr>
        <w:tc>
          <w:tcPr>
            <w:tcW w:type="dxa" w:w="90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after="0" w:before="0"/>
            </w:pPr>
            <w:r>
              <w:rPr>
                <w:rFonts w:ascii="Calibri" w:cs="Calibri" w:eastAsia="Calibri" w:hAnsi="Calibri"/>
                <w:b w:val="false"/>
                <w:bCs w:val="false"/>
                <w:color w:val="1A1A1A"/>
                <w:sz w:val="20"/>
                <w:szCs w:val="20"/>
              </w:rPr>
              <w:t xml:space="preserve">AI-P4</w:t>
            </w:r>
          </w:p>
        </w:tc>
        <w:tc>
          <w:tcPr>
            <w:tcW w:type="dxa" w:w="240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after="0" w:before="0"/>
            </w:pPr>
            <w:r>
              <w:rPr>
                <w:rFonts w:ascii="Calibri" w:cs="Calibri" w:eastAsia="Calibri" w:hAnsi="Calibri"/>
                <w:b w:val="false"/>
                <w:bCs w:val="false"/>
                <w:color w:val="1A1A1A"/>
                <w:sz w:val="20"/>
                <w:szCs w:val="20"/>
              </w:rPr>
              <w:t xml:space="preserve">Prompt Library Risk</w:t>
            </w:r>
          </w:p>
        </w:tc>
        <w:tc>
          <w:tcPr>
            <w:tcW w:type="dxa" w:w="3206"/>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after="0" w:before="0"/>
            </w:pPr>
            <w:r>
              <w:rPr>
                <w:rFonts w:ascii="Calibri" w:cs="Calibri" w:eastAsia="Calibri" w:hAnsi="Calibri"/>
                <w:b w:val="false"/>
                <w:bCs w:val="false"/>
                <w:color w:val="1A1A1A"/>
                <w:sz w:val="20"/>
                <w:szCs w:val="20"/>
              </w:rPr>
              <w:t xml:space="preserve">Published prompt identified as producing insecure output</w:t>
            </w:r>
          </w:p>
        </w:tc>
        <w:tc>
          <w:tcPr>
            <w:tcW w:type="dxa" w:w="140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after="0" w:before="0"/>
            </w:pPr>
            <w:r>
              <w:rPr>
                <w:rFonts w:ascii="Calibri" w:cs="Calibri" w:eastAsia="Calibri" w:hAnsi="Calibri"/>
                <w:b w:val="false"/>
                <w:bCs w:val="false"/>
                <w:color w:val="1A1A1A"/>
                <w:sz w:val="20"/>
                <w:szCs w:val="20"/>
              </w:rPr>
              <w:t xml:space="preserve">Low</w:t>
            </w:r>
          </w:p>
        </w:tc>
        <w:tc>
          <w:tcPr>
            <w:tcW w:type="dxa" w:w="160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after="0" w:before="0"/>
            </w:pPr>
            <w:r>
              <w:rPr>
                <w:rFonts w:ascii="Calibri" w:cs="Calibri" w:eastAsia="Calibri" w:hAnsi="Calibri"/>
                <w:b w:val="false"/>
                <w:bCs w:val="false"/>
                <w:color w:val="1A1A1A"/>
                <w:sz w:val="20"/>
                <w:szCs w:val="20"/>
              </w:rPr>
              <w:t xml:space="preserve">72 hours</w:t>
            </w:r>
          </w:p>
        </w:tc>
      </w:tr>
    </w:tbl>
    <w:p>
      <w:pPr>
        <w:spacing w:after="0" w:before="160"/>
      </w:pPr>
    </w:p>
    <w:p>
      <w:pPr>
        <w:pStyle w:val="Heading2"/>
        <w:pBdr>
          <w:bottom w:val="single" w:color="0D6E6E" w:sz="4" w:space="4"/>
        </w:pBdr>
        <w:spacing w:after="120" w:before="320"/>
      </w:pPr>
      <w:r>
        <w:rPr>
          <w:rFonts w:ascii="Calibri" w:cs="Calibri" w:eastAsia="Calibri" w:hAnsi="Calibri"/>
          <w:b/>
          <w:bCs/>
          <w:color w:val="0D6E6E"/>
          <w:sz w:val="28"/>
          <w:szCs w:val="28"/>
        </w:rPr>
        <w:t xml:space="preserve">Critical Path: AI-P1 Data Exfiltration</w:t>
      </w:r>
    </w:p>
    <w:p>
      <w:pPr>
        <w:spacing w:after="120" w:before="80" w:line="320"/>
        <w:jc w:val="both"/>
      </w:pPr>
      <w:r>
        <w:rPr>
          <w:rFonts w:ascii="Georgia" w:cs="Georgia" w:eastAsia="Georgia" w:hAnsi="Georgia"/>
          <w:color w:val="1A1A1A"/>
          <w:sz w:val="22"/>
          <w:szCs w:val="22"/>
        </w:rPr>
        <w:t xml:space="preserve">Contain within 30 minutes by revoking the API key in use and disabling the relevant tool in the AI Gateway Proxy while preserving all logs. Assess within the first hour to determine exactly what data was transmitted and under which vendor's data retention policy it now sits. Notify within one to four hours: if client data is involved, notify the client within the contractual SLA; if GDPR applies, initiate the 72-hour breach notification clock and engage the Data Protection Officer. Remediate within 24 hours by contacting the LLM vendor to invoke the data deletion clause of the DPA and document the root cause. Publish a post-incident review within 72 hours and update the framework to prevent recurrence.</w:t>
      </w:r>
    </w:p>
    <w:p>
      <w:pPr>
        <w:spacing w:after="0" w:before="0"/>
      </w:pPr>
      <w:r>
        <w:br w:type="page"/>
      </w:r>
    </w:p>
    <w:p>
      <w:pPr>
        <w:spacing w:after="0" w:before="240"/>
      </w:pPr>
    </w:p>
    <w:p>
      <w:pPr>
        <w:spacing w:after="60" w:before="0"/>
      </w:pPr>
      <w:r>
        <w:rPr>
          <w:rFonts w:ascii="Calibri" w:cs="Calibri" w:eastAsia="Calibri" w:hAnsi="Calibri"/>
          <w:b/>
          <w:bCs/>
          <w:color w:val="0D6E6E"/>
          <w:sz w:val="13"/>
          <w:szCs w:val="13"/>
        </w:rPr>
        <w:t xml:space="preserve">14  </w:t>
      </w:r>
      <w:r>
        <w:rPr>
          <w:rFonts w:ascii="Calibri" w:cs="Calibri" w:eastAsia="Calibri" w:hAnsi="Calibri"/>
          <w:b/>
          <w:bCs/>
          <w:color w:val="4A4A4A"/>
          <w:sz w:val="13"/>
          <w:szCs w:val="13"/>
        </w:rPr>
        <w:t xml:space="preserve">TOOLING REFERENCE ARCHITECTURE</w:t>
      </w:r>
    </w:p>
    <w:p>
      <w:pPr>
        <w:pStyle w:val="Heading1"/>
        <w:pBdr>
          <w:bottom w:val="single" w:color="0D6E6E" w:sz="6"/>
        </w:pBdr>
        <w:shd w:fill="1B2A4A" w:val="clear"/>
        <w:spacing w:after="200" w:before="0"/>
        <w:ind w:left="240" w:right="240"/>
      </w:pPr>
      <w:r>
        <w:rPr>
          <w:rFonts w:ascii="Calibri" w:cs="Calibri" w:eastAsia="Calibri" w:hAnsi="Calibri"/>
          <w:b/>
          <w:bCs/>
          <w:color w:val="FFFFFF"/>
          <w:sz w:val="36"/>
          <w:szCs w:val="36"/>
        </w:rPr>
        <w:t xml:space="preserve">Tooling Reference Architecture</w:t>
      </w:r>
    </w:p>
    <w:p>
      <w:pPr>
        <w:spacing w:after="120" w:before="80" w:line="320"/>
        <w:jc w:val="both"/>
      </w:pPr>
      <w:r>
        <w:rPr>
          <w:rFonts w:ascii="Georgia" w:cs="Georgia" w:eastAsia="Georgia" w:hAnsi="Georgia"/>
          <w:color w:val="1A1A1A"/>
          <w:sz w:val="22"/>
          <w:szCs w:val="22"/>
        </w:rPr>
        <w:t xml:space="preserve">The following reference architecture represents a recommended, not mandated, tooling stack. Organisations may substitute functionally equivalent tools at each layer.</w:t>
      </w:r>
    </w:p>
    <w:p>
      <w:pPr>
        <w:spacing w:after="0" w:before="120"/>
      </w:pP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400"/>
        <w:gridCol w:w="2906"/>
        <w:gridCol w:w="2400"/>
        <w:gridCol w:w="1800"/>
      </w:tblGrid>
      <w:tr>
        <w:trPr>
          <w:tblHeader/>
        </w:trPr>
        <w:tc>
          <w:tcPr>
            <w:tcW w:type="dxa" w:w="2400"/>
            <w:gridSpan w:val="1"/>
            <w:tcBorders>
              <w:top w:val="single" w:color="CCCCCC" w:sz="4"/>
              <w:left w:val="single" w:color="CCCCCC" w:sz="4"/>
              <w:bottom w:val="single" w:color="CCCCCC" w:sz="4"/>
              <w:right w:val="single" w:color="CCCCCC" w:sz="4"/>
            </w:tcBorders>
            <w:shd w:fill="1B2A4A" w:val="clear"/>
            <w:tcMar>
              <w:top w:type="dxa" w:w="80"/>
              <w:left w:type="dxa" w:w="140"/>
              <w:bottom w:type="dxa" w:w="80"/>
              <w:right w:type="dxa" w:w="140"/>
            </w:tcMar>
            <w:vAlign w:val="center"/>
          </w:tcPr>
          <w:p>
            <w:pPr>
              <w:spacing w:after="0" w:before="0"/>
            </w:pPr>
            <w:r>
              <w:rPr>
                <w:rFonts w:ascii="Calibri" w:cs="Calibri" w:eastAsia="Calibri" w:hAnsi="Calibri"/>
                <w:b/>
                <w:bCs/>
                <w:color w:val="FFFFFF"/>
                <w:sz w:val="20"/>
                <w:szCs w:val="20"/>
              </w:rPr>
              <w:t xml:space="preserve">Category</w:t>
            </w:r>
          </w:p>
        </w:tc>
        <w:tc>
          <w:tcPr>
            <w:tcW w:type="dxa" w:w="2906"/>
            <w:gridSpan w:val="1"/>
            <w:tcBorders>
              <w:top w:val="single" w:color="CCCCCC" w:sz="4"/>
              <w:left w:val="single" w:color="CCCCCC" w:sz="4"/>
              <w:bottom w:val="single" w:color="CCCCCC" w:sz="4"/>
              <w:right w:val="single" w:color="CCCCCC" w:sz="4"/>
            </w:tcBorders>
            <w:shd w:fill="1B2A4A" w:val="clear"/>
            <w:tcMar>
              <w:top w:type="dxa" w:w="80"/>
              <w:left w:type="dxa" w:w="140"/>
              <w:bottom w:type="dxa" w:w="80"/>
              <w:right w:type="dxa" w:w="140"/>
            </w:tcMar>
            <w:vAlign w:val="center"/>
          </w:tcPr>
          <w:p>
            <w:pPr>
              <w:spacing w:after="0" w:before="0"/>
            </w:pPr>
            <w:r>
              <w:rPr>
                <w:rFonts w:ascii="Calibri" w:cs="Calibri" w:eastAsia="Calibri" w:hAnsi="Calibri"/>
                <w:b/>
                <w:bCs/>
                <w:color w:val="FFFFFF"/>
                <w:sz w:val="20"/>
                <w:szCs w:val="20"/>
              </w:rPr>
              <w:t xml:space="preserve">Commercial Options</w:t>
            </w:r>
          </w:p>
        </w:tc>
        <w:tc>
          <w:tcPr>
            <w:tcW w:type="dxa" w:w="2400"/>
            <w:gridSpan w:val="1"/>
            <w:tcBorders>
              <w:top w:val="single" w:color="CCCCCC" w:sz="4"/>
              <w:left w:val="single" w:color="CCCCCC" w:sz="4"/>
              <w:bottom w:val="single" w:color="CCCCCC" w:sz="4"/>
              <w:right w:val="single" w:color="CCCCCC" w:sz="4"/>
            </w:tcBorders>
            <w:shd w:fill="1B2A4A" w:val="clear"/>
            <w:tcMar>
              <w:top w:type="dxa" w:w="80"/>
              <w:left w:type="dxa" w:w="140"/>
              <w:bottom w:type="dxa" w:w="80"/>
              <w:right w:type="dxa" w:w="140"/>
            </w:tcMar>
            <w:vAlign w:val="center"/>
          </w:tcPr>
          <w:p>
            <w:pPr>
              <w:spacing w:after="0" w:before="0"/>
            </w:pPr>
            <w:r>
              <w:rPr>
                <w:rFonts w:ascii="Calibri" w:cs="Calibri" w:eastAsia="Calibri" w:hAnsi="Calibri"/>
                <w:b/>
                <w:bCs/>
                <w:color w:val="FFFFFF"/>
                <w:sz w:val="20"/>
                <w:szCs w:val="20"/>
              </w:rPr>
              <w:t xml:space="preserve">Open Source / Self-Hosted</w:t>
            </w:r>
          </w:p>
        </w:tc>
        <w:tc>
          <w:tcPr>
            <w:tcW w:type="dxa" w:w="1800"/>
            <w:gridSpan w:val="1"/>
            <w:tcBorders>
              <w:top w:val="single" w:color="CCCCCC" w:sz="4"/>
              <w:left w:val="single" w:color="CCCCCC" w:sz="4"/>
              <w:bottom w:val="single" w:color="CCCCCC" w:sz="4"/>
              <w:right w:val="single" w:color="CCCCCC" w:sz="4"/>
            </w:tcBorders>
            <w:shd w:fill="1B2A4A" w:val="clear"/>
            <w:tcMar>
              <w:top w:type="dxa" w:w="80"/>
              <w:left w:type="dxa" w:w="140"/>
              <w:bottom w:type="dxa" w:w="80"/>
              <w:right w:type="dxa" w:w="140"/>
            </w:tcMar>
            <w:vAlign w:val="center"/>
          </w:tcPr>
          <w:p>
            <w:pPr>
              <w:spacing w:after="0" w:before="0"/>
            </w:pPr>
            <w:r>
              <w:rPr>
                <w:rFonts w:ascii="Calibri" w:cs="Calibri" w:eastAsia="Calibri" w:hAnsi="Calibri"/>
                <w:b/>
                <w:bCs/>
                <w:color w:val="FFFFFF"/>
                <w:sz w:val="20"/>
                <w:szCs w:val="20"/>
              </w:rPr>
              <w:t xml:space="preserve">Tier Relevance</w:t>
            </w:r>
          </w:p>
        </w:tc>
      </w:tr>
      <w:tr>
        <w:tc>
          <w:tcPr>
            <w:tcW w:type="dxa" w:w="240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after="0" w:before="0"/>
            </w:pPr>
            <w:r>
              <w:rPr>
                <w:rFonts w:ascii="Calibri" w:cs="Calibri" w:eastAsia="Calibri" w:hAnsi="Calibri"/>
                <w:b w:val="false"/>
                <w:bCs w:val="false"/>
                <w:color w:val="1A1A1A"/>
                <w:sz w:val="20"/>
                <w:szCs w:val="20"/>
              </w:rPr>
              <w:t xml:space="preserve">AI Gateway Proxy</w:t>
            </w:r>
          </w:p>
        </w:tc>
        <w:tc>
          <w:tcPr>
            <w:tcW w:type="dxa" w:w="2906"/>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after="0" w:before="0"/>
            </w:pPr>
            <w:r>
              <w:rPr>
                <w:rFonts w:ascii="Calibri" w:cs="Calibri" w:eastAsia="Calibri" w:hAnsi="Calibri"/>
                <w:b w:val="false"/>
                <w:bCs w:val="false"/>
                <w:color w:val="1A1A1A"/>
                <w:sz w:val="20"/>
                <w:szCs w:val="20"/>
              </w:rPr>
              <w:t xml:space="preserve">AWS Bedrock Gateway, Azure AI Gateway</w:t>
            </w:r>
          </w:p>
        </w:tc>
        <w:tc>
          <w:tcPr>
            <w:tcW w:type="dxa" w:w="240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after="0" w:before="0"/>
            </w:pPr>
            <w:r>
              <w:rPr>
                <w:rFonts w:ascii="Calibri" w:cs="Calibri" w:eastAsia="Calibri" w:hAnsi="Calibri"/>
                <w:b w:val="false"/>
                <w:bCs w:val="false"/>
                <w:color w:val="1A1A1A"/>
                <w:sz w:val="20"/>
                <w:szCs w:val="20"/>
              </w:rPr>
              <w:t xml:space="preserve">LiteLLM Proxy, Portkey</w:t>
            </w:r>
          </w:p>
        </w:tc>
        <w:tc>
          <w:tcPr>
            <w:tcW w:type="dxa" w:w="180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after="0" w:before="0"/>
            </w:pPr>
            <w:r>
              <w:rPr>
                <w:rFonts w:ascii="Calibri" w:cs="Calibri" w:eastAsia="Calibri" w:hAnsi="Calibri"/>
                <w:b w:val="false"/>
                <w:bCs w:val="false"/>
                <w:color w:val="1A1A1A"/>
                <w:sz w:val="20"/>
                <w:szCs w:val="20"/>
              </w:rPr>
              <w:t xml:space="preserve">All Tiers</w:t>
            </w:r>
          </w:p>
        </w:tc>
      </w:tr>
      <w:tr>
        <w:tc>
          <w:tcPr>
            <w:tcW w:type="dxa" w:w="2400"/>
            <w:gridSpan w:val="1"/>
            <w:tcBorders>
              <w:top w:val="single" w:color="CCCCCC" w:sz="4"/>
              <w:left w:val="single" w:color="CCCCCC" w:sz="4"/>
              <w:bottom w:val="single" w:color="CCCCCC" w:sz="4"/>
              <w:right w:val="single" w:color="CCCCCC" w:sz="4"/>
            </w:tcBorders>
            <w:shd w:fill="F4F6F8" w:val="clear"/>
            <w:tcMar>
              <w:top w:type="dxa" w:w="80"/>
              <w:left w:type="dxa" w:w="140"/>
              <w:bottom w:type="dxa" w:w="80"/>
              <w:right w:type="dxa" w:w="140"/>
            </w:tcMar>
            <w:vAlign w:val="center"/>
          </w:tcPr>
          <w:p>
            <w:pPr>
              <w:spacing w:after="0" w:before="0"/>
            </w:pPr>
            <w:r>
              <w:rPr>
                <w:rFonts w:ascii="Calibri" w:cs="Calibri" w:eastAsia="Calibri" w:hAnsi="Calibri"/>
                <w:b w:val="false"/>
                <w:bCs w:val="false"/>
                <w:color w:val="1A1A1A"/>
                <w:sz w:val="20"/>
                <w:szCs w:val="20"/>
              </w:rPr>
              <w:t xml:space="preserve">IDE AI Assistant</w:t>
            </w:r>
          </w:p>
        </w:tc>
        <w:tc>
          <w:tcPr>
            <w:tcW w:type="dxa" w:w="2906"/>
            <w:gridSpan w:val="1"/>
            <w:tcBorders>
              <w:top w:val="single" w:color="CCCCCC" w:sz="4"/>
              <w:left w:val="single" w:color="CCCCCC" w:sz="4"/>
              <w:bottom w:val="single" w:color="CCCCCC" w:sz="4"/>
              <w:right w:val="single" w:color="CCCCCC" w:sz="4"/>
            </w:tcBorders>
            <w:shd w:fill="F4F6F8" w:val="clear"/>
            <w:tcMar>
              <w:top w:type="dxa" w:w="80"/>
              <w:left w:type="dxa" w:w="140"/>
              <w:bottom w:type="dxa" w:w="80"/>
              <w:right w:type="dxa" w:w="140"/>
            </w:tcMar>
            <w:vAlign w:val="center"/>
          </w:tcPr>
          <w:p>
            <w:pPr>
              <w:spacing w:after="0" w:before="0"/>
            </w:pPr>
            <w:r>
              <w:rPr>
                <w:rFonts w:ascii="Calibri" w:cs="Calibri" w:eastAsia="Calibri" w:hAnsi="Calibri"/>
                <w:b w:val="false"/>
                <w:bCs w:val="false"/>
                <w:color w:val="1A1A1A"/>
                <w:sz w:val="20"/>
                <w:szCs w:val="20"/>
              </w:rPr>
              <w:t xml:space="preserve">GitHub Copilot Enterprise, Cursor Business</w:t>
            </w:r>
          </w:p>
        </w:tc>
        <w:tc>
          <w:tcPr>
            <w:tcW w:type="dxa" w:w="2400"/>
            <w:gridSpan w:val="1"/>
            <w:tcBorders>
              <w:top w:val="single" w:color="CCCCCC" w:sz="4"/>
              <w:left w:val="single" w:color="CCCCCC" w:sz="4"/>
              <w:bottom w:val="single" w:color="CCCCCC" w:sz="4"/>
              <w:right w:val="single" w:color="CCCCCC" w:sz="4"/>
            </w:tcBorders>
            <w:shd w:fill="F4F6F8" w:val="clear"/>
            <w:tcMar>
              <w:top w:type="dxa" w:w="80"/>
              <w:left w:type="dxa" w:w="140"/>
              <w:bottom w:type="dxa" w:w="80"/>
              <w:right w:type="dxa" w:w="140"/>
            </w:tcMar>
            <w:vAlign w:val="center"/>
          </w:tcPr>
          <w:p>
            <w:pPr>
              <w:spacing w:after="0" w:before="0"/>
            </w:pPr>
            <w:r>
              <w:rPr>
                <w:rFonts w:ascii="Calibri" w:cs="Calibri" w:eastAsia="Calibri" w:hAnsi="Calibri"/>
                <w:b w:val="false"/>
                <w:bCs w:val="false"/>
                <w:color w:val="1A1A1A"/>
                <w:sz w:val="20"/>
                <w:szCs w:val="20"/>
              </w:rPr>
              <w:t xml:space="preserve">Continue.dev (self-hosted)</w:t>
            </w:r>
          </w:p>
        </w:tc>
        <w:tc>
          <w:tcPr>
            <w:tcW w:type="dxa" w:w="1800"/>
            <w:gridSpan w:val="1"/>
            <w:tcBorders>
              <w:top w:val="single" w:color="CCCCCC" w:sz="4"/>
              <w:left w:val="single" w:color="CCCCCC" w:sz="4"/>
              <w:bottom w:val="single" w:color="CCCCCC" w:sz="4"/>
              <w:right w:val="single" w:color="CCCCCC" w:sz="4"/>
            </w:tcBorders>
            <w:shd w:fill="F4F6F8" w:val="clear"/>
            <w:tcMar>
              <w:top w:type="dxa" w:w="80"/>
              <w:left w:type="dxa" w:w="140"/>
              <w:bottom w:type="dxa" w:w="80"/>
              <w:right w:type="dxa" w:w="140"/>
            </w:tcMar>
            <w:vAlign w:val="center"/>
          </w:tcPr>
          <w:p>
            <w:pPr>
              <w:spacing w:after="0" w:before="0"/>
            </w:pPr>
            <w:r>
              <w:rPr>
                <w:rFonts w:ascii="Calibri" w:cs="Calibri" w:eastAsia="Calibri" w:hAnsi="Calibri"/>
                <w:b w:val="false"/>
                <w:bCs w:val="false"/>
                <w:color w:val="1A1A1A"/>
                <w:sz w:val="20"/>
                <w:szCs w:val="20"/>
              </w:rPr>
              <w:t xml:space="preserve">Tier 3</w:t>
            </w:r>
          </w:p>
        </w:tc>
      </w:tr>
      <w:tr>
        <w:tc>
          <w:tcPr>
            <w:tcW w:type="dxa" w:w="240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after="0" w:before="0"/>
            </w:pPr>
            <w:r>
              <w:rPr>
                <w:rFonts w:ascii="Calibri" w:cs="Calibri" w:eastAsia="Calibri" w:hAnsi="Calibri"/>
                <w:b w:val="false"/>
                <w:bCs w:val="false"/>
                <w:color w:val="1A1A1A"/>
                <w:sz w:val="20"/>
                <w:szCs w:val="20"/>
              </w:rPr>
              <w:t xml:space="preserve">Coding Agents</w:t>
            </w:r>
          </w:p>
        </w:tc>
        <w:tc>
          <w:tcPr>
            <w:tcW w:type="dxa" w:w="2906"/>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after="0" w:before="0"/>
            </w:pPr>
            <w:r>
              <w:rPr>
                <w:rFonts w:ascii="Calibri" w:cs="Calibri" w:eastAsia="Calibri" w:hAnsi="Calibri"/>
                <w:b w:val="false"/>
                <w:bCs w:val="false"/>
                <w:color w:val="1A1A1A"/>
                <w:sz w:val="20"/>
                <w:szCs w:val="20"/>
              </w:rPr>
              <w:t xml:space="preserve">Claude Code, Amazon Q Developer Agent</w:t>
            </w:r>
          </w:p>
        </w:tc>
        <w:tc>
          <w:tcPr>
            <w:tcW w:type="dxa" w:w="240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after="0" w:before="0"/>
            </w:pPr>
            <w:r>
              <w:rPr>
                <w:rFonts w:ascii="Calibri" w:cs="Calibri" w:eastAsia="Calibri" w:hAnsi="Calibri"/>
                <w:b w:val="false"/>
                <w:bCs w:val="false"/>
                <w:color w:val="1A1A1A"/>
                <w:sz w:val="20"/>
                <w:szCs w:val="20"/>
              </w:rPr>
              <w:t xml:space="preserve">SWE-agent (self-hosted)</w:t>
            </w:r>
          </w:p>
        </w:tc>
        <w:tc>
          <w:tcPr>
            <w:tcW w:type="dxa" w:w="180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after="0" w:before="0"/>
            </w:pPr>
            <w:r>
              <w:rPr>
                <w:rFonts w:ascii="Calibri" w:cs="Calibri" w:eastAsia="Calibri" w:hAnsi="Calibri"/>
                <w:b w:val="false"/>
                <w:bCs w:val="false"/>
                <w:color w:val="1A1A1A"/>
                <w:sz w:val="20"/>
                <w:szCs w:val="20"/>
              </w:rPr>
              <w:t xml:space="preserve">Tier 4–5</w:t>
            </w:r>
          </w:p>
        </w:tc>
      </w:tr>
      <w:tr>
        <w:tc>
          <w:tcPr>
            <w:tcW w:type="dxa" w:w="2400"/>
            <w:gridSpan w:val="1"/>
            <w:tcBorders>
              <w:top w:val="single" w:color="CCCCCC" w:sz="4"/>
              <w:left w:val="single" w:color="CCCCCC" w:sz="4"/>
              <w:bottom w:val="single" w:color="CCCCCC" w:sz="4"/>
              <w:right w:val="single" w:color="CCCCCC" w:sz="4"/>
            </w:tcBorders>
            <w:shd w:fill="F4F6F8" w:val="clear"/>
            <w:tcMar>
              <w:top w:type="dxa" w:w="80"/>
              <w:left w:type="dxa" w:w="140"/>
              <w:bottom w:type="dxa" w:w="80"/>
              <w:right w:type="dxa" w:w="140"/>
            </w:tcMar>
            <w:vAlign w:val="center"/>
          </w:tcPr>
          <w:p>
            <w:pPr>
              <w:spacing w:after="0" w:before="0"/>
            </w:pPr>
            <w:r>
              <w:rPr>
                <w:rFonts w:ascii="Calibri" w:cs="Calibri" w:eastAsia="Calibri" w:hAnsi="Calibri"/>
                <w:b w:val="false"/>
                <w:bCs w:val="false"/>
                <w:color w:val="1A1A1A"/>
                <w:sz w:val="20"/>
                <w:szCs w:val="20"/>
              </w:rPr>
              <w:t xml:space="preserve">CAIR Registry</w:t>
            </w:r>
          </w:p>
        </w:tc>
        <w:tc>
          <w:tcPr>
            <w:tcW w:type="dxa" w:w="2906"/>
            <w:gridSpan w:val="1"/>
            <w:tcBorders>
              <w:top w:val="single" w:color="CCCCCC" w:sz="4"/>
              <w:left w:val="single" w:color="CCCCCC" w:sz="4"/>
              <w:bottom w:val="single" w:color="CCCCCC" w:sz="4"/>
              <w:right w:val="single" w:color="CCCCCC" w:sz="4"/>
            </w:tcBorders>
            <w:shd w:fill="F4F6F8" w:val="clear"/>
            <w:tcMar>
              <w:top w:type="dxa" w:w="80"/>
              <w:left w:type="dxa" w:w="140"/>
              <w:bottom w:type="dxa" w:w="80"/>
              <w:right w:type="dxa" w:w="140"/>
            </w:tcMar>
            <w:vAlign w:val="center"/>
          </w:tcPr>
          <w:p>
            <w:pPr>
              <w:spacing w:after="0" w:before="0"/>
            </w:pPr>
            <w:r>
              <w:rPr>
                <w:rFonts w:ascii="Calibri" w:cs="Calibri" w:eastAsia="Calibri" w:hAnsi="Calibri"/>
                <w:b w:val="false"/>
                <w:bCs w:val="false"/>
                <w:color w:val="1A1A1A"/>
                <w:sz w:val="20"/>
                <w:szCs w:val="20"/>
              </w:rPr>
              <w:t xml:space="preserve">Internal GitLab, GitHub Enterprise</w:t>
            </w:r>
          </w:p>
        </w:tc>
        <w:tc>
          <w:tcPr>
            <w:tcW w:type="dxa" w:w="2400"/>
            <w:gridSpan w:val="1"/>
            <w:tcBorders>
              <w:top w:val="single" w:color="CCCCCC" w:sz="4"/>
              <w:left w:val="single" w:color="CCCCCC" w:sz="4"/>
              <w:bottom w:val="single" w:color="CCCCCC" w:sz="4"/>
              <w:right w:val="single" w:color="CCCCCC" w:sz="4"/>
            </w:tcBorders>
            <w:shd w:fill="F4F6F8" w:val="clear"/>
            <w:tcMar>
              <w:top w:type="dxa" w:w="80"/>
              <w:left w:type="dxa" w:w="140"/>
              <w:bottom w:type="dxa" w:w="80"/>
              <w:right w:type="dxa" w:w="140"/>
            </w:tcMar>
            <w:vAlign w:val="center"/>
          </w:tcPr>
          <w:p>
            <w:pPr>
              <w:spacing w:after="0" w:before="0"/>
            </w:pPr>
            <w:r>
              <w:rPr>
                <w:rFonts w:ascii="Calibri" w:cs="Calibri" w:eastAsia="Calibri" w:hAnsi="Calibri"/>
                <w:b w:val="false"/>
                <w:bCs w:val="false"/>
                <w:color w:val="1A1A1A"/>
                <w:sz w:val="20"/>
                <w:szCs w:val="20"/>
              </w:rPr>
              <w:t xml:space="preserve">Gitea (self-hosted)</w:t>
            </w:r>
          </w:p>
        </w:tc>
        <w:tc>
          <w:tcPr>
            <w:tcW w:type="dxa" w:w="1800"/>
            <w:gridSpan w:val="1"/>
            <w:tcBorders>
              <w:top w:val="single" w:color="CCCCCC" w:sz="4"/>
              <w:left w:val="single" w:color="CCCCCC" w:sz="4"/>
              <w:bottom w:val="single" w:color="CCCCCC" w:sz="4"/>
              <w:right w:val="single" w:color="CCCCCC" w:sz="4"/>
            </w:tcBorders>
            <w:shd w:fill="F4F6F8" w:val="clear"/>
            <w:tcMar>
              <w:top w:type="dxa" w:w="80"/>
              <w:left w:type="dxa" w:w="140"/>
              <w:bottom w:type="dxa" w:w="80"/>
              <w:right w:type="dxa" w:w="140"/>
            </w:tcMar>
            <w:vAlign w:val="center"/>
          </w:tcPr>
          <w:p>
            <w:pPr>
              <w:spacing w:after="0" w:before="0"/>
            </w:pPr>
            <w:r>
              <w:rPr>
                <w:rFonts w:ascii="Calibri" w:cs="Calibri" w:eastAsia="Calibri" w:hAnsi="Calibri"/>
                <w:b w:val="false"/>
                <w:bCs w:val="false"/>
                <w:color w:val="1A1A1A"/>
                <w:sz w:val="20"/>
                <w:szCs w:val="20"/>
              </w:rPr>
              <w:t xml:space="preserve">All Tiers</w:t>
            </w:r>
          </w:p>
        </w:tc>
      </w:tr>
      <w:tr>
        <w:tc>
          <w:tcPr>
            <w:tcW w:type="dxa" w:w="240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after="0" w:before="0"/>
            </w:pPr>
            <w:r>
              <w:rPr>
                <w:rFonts w:ascii="Calibri" w:cs="Calibri" w:eastAsia="Calibri" w:hAnsi="Calibri"/>
                <w:b w:val="false"/>
                <w:bCs w:val="false"/>
                <w:color w:val="1A1A1A"/>
                <w:sz w:val="20"/>
                <w:szCs w:val="20"/>
              </w:rPr>
              <w:t xml:space="preserve">SAST</w:t>
            </w:r>
          </w:p>
        </w:tc>
        <w:tc>
          <w:tcPr>
            <w:tcW w:type="dxa" w:w="2906"/>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after="0" w:before="0"/>
            </w:pPr>
            <w:r>
              <w:rPr>
                <w:rFonts w:ascii="Calibri" w:cs="Calibri" w:eastAsia="Calibri" w:hAnsi="Calibri"/>
                <w:b w:val="false"/>
                <w:bCs w:val="false"/>
                <w:color w:val="1A1A1A"/>
                <w:sz w:val="20"/>
                <w:szCs w:val="20"/>
              </w:rPr>
              <w:t xml:space="preserve">Snyk Code, Checkmarx</w:t>
            </w:r>
          </w:p>
        </w:tc>
        <w:tc>
          <w:tcPr>
            <w:tcW w:type="dxa" w:w="240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after="0" w:before="0"/>
            </w:pPr>
            <w:r>
              <w:rPr>
                <w:rFonts w:ascii="Calibri" w:cs="Calibri" w:eastAsia="Calibri" w:hAnsi="Calibri"/>
                <w:b w:val="false"/>
                <w:bCs w:val="false"/>
                <w:color w:val="1A1A1A"/>
                <w:sz w:val="20"/>
                <w:szCs w:val="20"/>
              </w:rPr>
              <w:t xml:space="preserve">Semgrep OSS, SonarQube CE</w:t>
            </w:r>
          </w:p>
        </w:tc>
        <w:tc>
          <w:tcPr>
            <w:tcW w:type="dxa" w:w="180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after="0" w:before="0"/>
            </w:pPr>
            <w:r>
              <w:rPr>
                <w:rFonts w:ascii="Calibri" w:cs="Calibri" w:eastAsia="Calibri" w:hAnsi="Calibri"/>
                <w:b w:val="false"/>
                <w:bCs w:val="false"/>
                <w:color w:val="1A1A1A"/>
                <w:sz w:val="20"/>
                <w:szCs w:val="20"/>
              </w:rPr>
              <w:t xml:space="preserve">Tier 3–5</w:t>
            </w:r>
          </w:p>
        </w:tc>
      </w:tr>
      <w:tr>
        <w:tc>
          <w:tcPr>
            <w:tcW w:type="dxa" w:w="2400"/>
            <w:gridSpan w:val="1"/>
            <w:tcBorders>
              <w:top w:val="single" w:color="CCCCCC" w:sz="4"/>
              <w:left w:val="single" w:color="CCCCCC" w:sz="4"/>
              <w:bottom w:val="single" w:color="CCCCCC" w:sz="4"/>
              <w:right w:val="single" w:color="CCCCCC" w:sz="4"/>
            </w:tcBorders>
            <w:shd w:fill="F4F6F8" w:val="clear"/>
            <w:tcMar>
              <w:top w:type="dxa" w:w="80"/>
              <w:left w:type="dxa" w:w="140"/>
              <w:bottom w:type="dxa" w:w="80"/>
              <w:right w:type="dxa" w:w="140"/>
            </w:tcMar>
            <w:vAlign w:val="center"/>
          </w:tcPr>
          <w:p>
            <w:pPr>
              <w:spacing w:after="0" w:before="0"/>
            </w:pPr>
            <w:r>
              <w:rPr>
                <w:rFonts w:ascii="Calibri" w:cs="Calibri" w:eastAsia="Calibri" w:hAnsi="Calibri"/>
                <w:b w:val="false"/>
                <w:bCs w:val="false"/>
                <w:color w:val="1A1A1A"/>
                <w:sz w:val="20"/>
                <w:szCs w:val="20"/>
              </w:rPr>
              <w:t xml:space="preserve">Secret Detection</w:t>
            </w:r>
          </w:p>
        </w:tc>
        <w:tc>
          <w:tcPr>
            <w:tcW w:type="dxa" w:w="2906"/>
            <w:gridSpan w:val="1"/>
            <w:tcBorders>
              <w:top w:val="single" w:color="CCCCCC" w:sz="4"/>
              <w:left w:val="single" w:color="CCCCCC" w:sz="4"/>
              <w:bottom w:val="single" w:color="CCCCCC" w:sz="4"/>
              <w:right w:val="single" w:color="CCCCCC" w:sz="4"/>
            </w:tcBorders>
            <w:shd w:fill="F4F6F8" w:val="clear"/>
            <w:tcMar>
              <w:top w:type="dxa" w:w="80"/>
              <w:left w:type="dxa" w:w="140"/>
              <w:bottom w:type="dxa" w:w="80"/>
              <w:right w:type="dxa" w:w="140"/>
            </w:tcMar>
            <w:vAlign w:val="center"/>
          </w:tcPr>
          <w:p>
            <w:pPr>
              <w:spacing w:after="0" w:before="0"/>
            </w:pPr>
            <w:r>
              <w:rPr>
                <w:rFonts w:ascii="Calibri" w:cs="Calibri" w:eastAsia="Calibri" w:hAnsi="Calibri"/>
                <w:b w:val="false"/>
                <w:bCs w:val="false"/>
                <w:color w:val="1A1A1A"/>
                <w:sz w:val="20"/>
                <w:szCs w:val="20"/>
              </w:rPr>
              <w:t xml:space="preserve">GitGuardian, Nightfall</w:t>
            </w:r>
          </w:p>
        </w:tc>
        <w:tc>
          <w:tcPr>
            <w:tcW w:type="dxa" w:w="2400"/>
            <w:gridSpan w:val="1"/>
            <w:tcBorders>
              <w:top w:val="single" w:color="CCCCCC" w:sz="4"/>
              <w:left w:val="single" w:color="CCCCCC" w:sz="4"/>
              <w:bottom w:val="single" w:color="CCCCCC" w:sz="4"/>
              <w:right w:val="single" w:color="CCCCCC" w:sz="4"/>
            </w:tcBorders>
            <w:shd w:fill="F4F6F8" w:val="clear"/>
            <w:tcMar>
              <w:top w:type="dxa" w:w="80"/>
              <w:left w:type="dxa" w:w="140"/>
              <w:bottom w:type="dxa" w:w="80"/>
              <w:right w:type="dxa" w:w="140"/>
            </w:tcMar>
            <w:vAlign w:val="center"/>
          </w:tcPr>
          <w:p>
            <w:pPr>
              <w:spacing w:after="0" w:before="0"/>
            </w:pPr>
            <w:r>
              <w:rPr>
                <w:rFonts w:ascii="Calibri" w:cs="Calibri" w:eastAsia="Calibri" w:hAnsi="Calibri"/>
                <w:b w:val="false"/>
                <w:bCs w:val="false"/>
                <w:color w:val="1A1A1A"/>
                <w:sz w:val="20"/>
                <w:szCs w:val="20"/>
              </w:rPr>
              <w:t xml:space="preserve">TruffleHog, GitLeaks</w:t>
            </w:r>
          </w:p>
        </w:tc>
        <w:tc>
          <w:tcPr>
            <w:tcW w:type="dxa" w:w="1800"/>
            <w:gridSpan w:val="1"/>
            <w:tcBorders>
              <w:top w:val="single" w:color="CCCCCC" w:sz="4"/>
              <w:left w:val="single" w:color="CCCCCC" w:sz="4"/>
              <w:bottom w:val="single" w:color="CCCCCC" w:sz="4"/>
              <w:right w:val="single" w:color="CCCCCC" w:sz="4"/>
            </w:tcBorders>
            <w:shd w:fill="F4F6F8" w:val="clear"/>
            <w:tcMar>
              <w:top w:type="dxa" w:w="80"/>
              <w:left w:type="dxa" w:w="140"/>
              <w:bottom w:type="dxa" w:w="80"/>
              <w:right w:type="dxa" w:w="140"/>
            </w:tcMar>
            <w:vAlign w:val="center"/>
          </w:tcPr>
          <w:p>
            <w:pPr>
              <w:spacing w:after="0" w:before="0"/>
            </w:pPr>
            <w:r>
              <w:rPr>
                <w:rFonts w:ascii="Calibri" w:cs="Calibri" w:eastAsia="Calibri" w:hAnsi="Calibri"/>
                <w:b w:val="false"/>
                <w:bCs w:val="false"/>
                <w:color w:val="1A1A1A"/>
                <w:sz w:val="20"/>
                <w:szCs w:val="20"/>
              </w:rPr>
              <w:t xml:space="preserve">Tier 3–5</w:t>
            </w:r>
          </w:p>
        </w:tc>
      </w:tr>
      <w:tr>
        <w:tc>
          <w:tcPr>
            <w:tcW w:type="dxa" w:w="240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after="0" w:before="0"/>
            </w:pPr>
            <w:r>
              <w:rPr>
                <w:rFonts w:ascii="Calibri" w:cs="Calibri" w:eastAsia="Calibri" w:hAnsi="Calibri"/>
                <w:b w:val="false"/>
                <w:bCs w:val="false"/>
                <w:color w:val="1A1A1A"/>
                <w:sz w:val="20"/>
                <w:szCs w:val="20"/>
              </w:rPr>
              <w:t xml:space="preserve">PII Detection</w:t>
            </w:r>
          </w:p>
        </w:tc>
        <w:tc>
          <w:tcPr>
            <w:tcW w:type="dxa" w:w="2906"/>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after="0" w:before="0"/>
            </w:pPr>
            <w:r>
              <w:rPr>
                <w:rFonts w:ascii="Calibri" w:cs="Calibri" w:eastAsia="Calibri" w:hAnsi="Calibri"/>
                <w:b w:val="false"/>
                <w:bCs w:val="false"/>
                <w:color w:val="1A1A1A"/>
                <w:sz w:val="20"/>
                <w:szCs w:val="20"/>
              </w:rPr>
              <w:t xml:space="preserve">Nightfall, Presidio (Microsoft)</w:t>
            </w:r>
          </w:p>
        </w:tc>
        <w:tc>
          <w:tcPr>
            <w:tcW w:type="dxa" w:w="240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after="0" w:before="0"/>
            </w:pPr>
            <w:r>
              <w:rPr>
                <w:rFonts w:ascii="Calibri" w:cs="Calibri" w:eastAsia="Calibri" w:hAnsi="Calibri"/>
                <w:b w:val="false"/>
                <w:bCs w:val="false"/>
                <w:color w:val="1A1A1A"/>
                <w:sz w:val="20"/>
                <w:szCs w:val="20"/>
              </w:rPr>
              <w:t xml:space="preserve">Presidio OSS, scrubadub</w:t>
            </w:r>
          </w:p>
        </w:tc>
        <w:tc>
          <w:tcPr>
            <w:tcW w:type="dxa" w:w="180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after="0" w:before="0"/>
            </w:pPr>
            <w:r>
              <w:rPr>
                <w:rFonts w:ascii="Calibri" w:cs="Calibri" w:eastAsia="Calibri" w:hAnsi="Calibri"/>
                <w:b w:val="false"/>
                <w:bCs w:val="false"/>
                <w:color w:val="1A1A1A"/>
                <w:sz w:val="20"/>
                <w:szCs w:val="20"/>
              </w:rPr>
              <w:t xml:space="preserve">Tier 2–5</w:t>
            </w:r>
          </w:p>
        </w:tc>
      </w:tr>
      <w:tr>
        <w:tc>
          <w:tcPr>
            <w:tcW w:type="dxa" w:w="2400"/>
            <w:gridSpan w:val="1"/>
            <w:tcBorders>
              <w:top w:val="single" w:color="CCCCCC" w:sz="4"/>
              <w:left w:val="single" w:color="CCCCCC" w:sz="4"/>
              <w:bottom w:val="single" w:color="CCCCCC" w:sz="4"/>
              <w:right w:val="single" w:color="CCCCCC" w:sz="4"/>
            </w:tcBorders>
            <w:shd w:fill="F4F6F8" w:val="clear"/>
            <w:tcMar>
              <w:top w:type="dxa" w:w="80"/>
              <w:left w:type="dxa" w:w="140"/>
              <w:bottom w:type="dxa" w:w="80"/>
              <w:right w:type="dxa" w:w="140"/>
            </w:tcMar>
            <w:vAlign w:val="center"/>
          </w:tcPr>
          <w:p>
            <w:pPr>
              <w:spacing w:after="0" w:before="0"/>
            </w:pPr>
            <w:r>
              <w:rPr>
                <w:rFonts w:ascii="Calibri" w:cs="Calibri" w:eastAsia="Calibri" w:hAnsi="Calibri"/>
                <w:b w:val="false"/>
                <w:bCs w:val="false"/>
                <w:color w:val="1A1A1A"/>
                <w:sz w:val="20"/>
                <w:szCs w:val="20"/>
              </w:rPr>
              <w:t xml:space="preserve">Logging / SIEM</w:t>
            </w:r>
          </w:p>
        </w:tc>
        <w:tc>
          <w:tcPr>
            <w:tcW w:type="dxa" w:w="2906"/>
            <w:gridSpan w:val="1"/>
            <w:tcBorders>
              <w:top w:val="single" w:color="CCCCCC" w:sz="4"/>
              <w:left w:val="single" w:color="CCCCCC" w:sz="4"/>
              <w:bottom w:val="single" w:color="CCCCCC" w:sz="4"/>
              <w:right w:val="single" w:color="CCCCCC" w:sz="4"/>
            </w:tcBorders>
            <w:shd w:fill="F4F6F8" w:val="clear"/>
            <w:tcMar>
              <w:top w:type="dxa" w:w="80"/>
              <w:left w:type="dxa" w:w="140"/>
              <w:bottom w:type="dxa" w:w="80"/>
              <w:right w:type="dxa" w:w="140"/>
            </w:tcMar>
            <w:vAlign w:val="center"/>
          </w:tcPr>
          <w:p>
            <w:pPr>
              <w:spacing w:after="0" w:before="0"/>
            </w:pPr>
            <w:r>
              <w:rPr>
                <w:rFonts w:ascii="Calibri" w:cs="Calibri" w:eastAsia="Calibri" w:hAnsi="Calibri"/>
                <w:b w:val="false"/>
                <w:bCs w:val="false"/>
                <w:color w:val="1A1A1A"/>
                <w:sz w:val="20"/>
                <w:szCs w:val="20"/>
              </w:rPr>
              <w:t xml:space="preserve">Splunk, Datadog</w:t>
            </w:r>
          </w:p>
        </w:tc>
        <w:tc>
          <w:tcPr>
            <w:tcW w:type="dxa" w:w="2400"/>
            <w:gridSpan w:val="1"/>
            <w:tcBorders>
              <w:top w:val="single" w:color="CCCCCC" w:sz="4"/>
              <w:left w:val="single" w:color="CCCCCC" w:sz="4"/>
              <w:bottom w:val="single" w:color="CCCCCC" w:sz="4"/>
              <w:right w:val="single" w:color="CCCCCC" w:sz="4"/>
            </w:tcBorders>
            <w:shd w:fill="F4F6F8" w:val="clear"/>
            <w:tcMar>
              <w:top w:type="dxa" w:w="80"/>
              <w:left w:type="dxa" w:w="140"/>
              <w:bottom w:type="dxa" w:w="80"/>
              <w:right w:type="dxa" w:w="140"/>
            </w:tcMar>
            <w:vAlign w:val="center"/>
          </w:tcPr>
          <w:p>
            <w:pPr>
              <w:spacing w:after="0" w:before="0"/>
            </w:pPr>
            <w:r>
              <w:rPr>
                <w:rFonts w:ascii="Calibri" w:cs="Calibri" w:eastAsia="Calibri" w:hAnsi="Calibri"/>
                <w:b w:val="false"/>
                <w:bCs w:val="false"/>
                <w:color w:val="1A1A1A"/>
                <w:sz w:val="20"/>
                <w:szCs w:val="20"/>
              </w:rPr>
              <w:t xml:space="preserve">ELK Stack, Grafana + Loki</w:t>
            </w:r>
          </w:p>
        </w:tc>
        <w:tc>
          <w:tcPr>
            <w:tcW w:type="dxa" w:w="1800"/>
            <w:gridSpan w:val="1"/>
            <w:tcBorders>
              <w:top w:val="single" w:color="CCCCCC" w:sz="4"/>
              <w:left w:val="single" w:color="CCCCCC" w:sz="4"/>
              <w:bottom w:val="single" w:color="CCCCCC" w:sz="4"/>
              <w:right w:val="single" w:color="CCCCCC" w:sz="4"/>
            </w:tcBorders>
            <w:shd w:fill="F4F6F8" w:val="clear"/>
            <w:tcMar>
              <w:top w:type="dxa" w:w="80"/>
              <w:left w:type="dxa" w:w="140"/>
              <w:bottom w:type="dxa" w:w="80"/>
              <w:right w:type="dxa" w:w="140"/>
            </w:tcMar>
            <w:vAlign w:val="center"/>
          </w:tcPr>
          <w:p>
            <w:pPr>
              <w:spacing w:after="0" w:before="0"/>
            </w:pPr>
            <w:r>
              <w:rPr>
                <w:rFonts w:ascii="Calibri" w:cs="Calibri" w:eastAsia="Calibri" w:hAnsi="Calibri"/>
                <w:b w:val="false"/>
                <w:bCs w:val="false"/>
                <w:color w:val="1A1A1A"/>
                <w:sz w:val="20"/>
                <w:szCs w:val="20"/>
              </w:rPr>
              <w:t xml:space="preserve">All Tiers</w:t>
            </w:r>
          </w:p>
        </w:tc>
      </w:tr>
      <w:tr>
        <w:tc>
          <w:tcPr>
            <w:tcW w:type="dxa" w:w="240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after="0" w:before="0"/>
            </w:pPr>
            <w:r>
              <w:rPr>
                <w:rFonts w:ascii="Calibri" w:cs="Calibri" w:eastAsia="Calibri" w:hAnsi="Calibri"/>
                <w:b w:val="false"/>
                <w:bCs w:val="false"/>
                <w:color w:val="1A1A1A"/>
                <w:sz w:val="20"/>
                <w:szCs w:val="20"/>
              </w:rPr>
              <w:t xml:space="preserve">Cost Tracking</w:t>
            </w:r>
          </w:p>
        </w:tc>
        <w:tc>
          <w:tcPr>
            <w:tcW w:type="dxa" w:w="2906"/>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after="0" w:before="0"/>
            </w:pPr>
            <w:r>
              <w:rPr>
                <w:rFonts w:ascii="Calibri" w:cs="Calibri" w:eastAsia="Calibri" w:hAnsi="Calibri"/>
                <w:b w:val="false"/>
                <w:bCs w:val="false"/>
                <w:color w:val="1A1A1A"/>
                <w:sz w:val="20"/>
                <w:szCs w:val="20"/>
              </w:rPr>
              <w:t xml:space="preserve">Vantage, CloudZero</w:t>
            </w:r>
          </w:p>
        </w:tc>
        <w:tc>
          <w:tcPr>
            <w:tcW w:type="dxa" w:w="240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after="0" w:before="0"/>
            </w:pPr>
            <w:r>
              <w:rPr>
                <w:rFonts w:ascii="Calibri" w:cs="Calibri" w:eastAsia="Calibri" w:hAnsi="Calibri"/>
                <w:b w:val="false"/>
                <w:bCs w:val="false"/>
                <w:color w:val="1A1A1A"/>
                <w:sz w:val="20"/>
                <w:szCs w:val="20"/>
              </w:rPr>
              <w:t xml:space="preserve">LiteLLM built-in reporting</w:t>
            </w:r>
          </w:p>
        </w:tc>
        <w:tc>
          <w:tcPr>
            <w:tcW w:type="dxa" w:w="180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after="0" w:before="0"/>
            </w:pPr>
            <w:r>
              <w:rPr>
                <w:rFonts w:ascii="Calibri" w:cs="Calibri" w:eastAsia="Calibri" w:hAnsi="Calibri"/>
                <w:b w:val="false"/>
                <w:bCs w:val="false"/>
                <w:color w:val="1A1A1A"/>
                <w:sz w:val="20"/>
                <w:szCs w:val="20"/>
              </w:rPr>
              <w:t xml:space="preserve">All Tiers</w:t>
            </w:r>
          </w:p>
        </w:tc>
      </w:tr>
      <w:tr>
        <w:tc>
          <w:tcPr>
            <w:tcW w:type="dxa" w:w="2400"/>
            <w:gridSpan w:val="1"/>
            <w:tcBorders>
              <w:top w:val="single" w:color="CCCCCC" w:sz="4"/>
              <w:left w:val="single" w:color="CCCCCC" w:sz="4"/>
              <w:bottom w:val="single" w:color="CCCCCC" w:sz="4"/>
              <w:right w:val="single" w:color="CCCCCC" w:sz="4"/>
            </w:tcBorders>
            <w:shd w:fill="F4F6F8" w:val="clear"/>
            <w:tcMar>
              <w:top w:type="dxa" w:w="80"/>
              <w:left w:type="dxa" w:w="140"/>
              <w:bottom w:type="dxa" w:w="80"/>
              <w:right w:type="dxa" w:w="140"/>
            </w:tcMar>
            <w:vAlign w:val="center"/>
          </w:tcPr>
          <w:p>
            <w:pPr>
              <w:spacing w:after="0" w:before="0"/>
            </w:pPr>
            <w:r>
              <w:rPr>
                <w:rFonts w:ascii="Calibri" w:cs="Calibri" w:eastAsia="Calibri" w:hAnsi="Calibri"/>
                <w:b w:val="false"/>
                <w:bCs w:val="false"/>
                <w:color w:val="1A1A1A"/>
                <w:sz w:val="20"/>
                <w:szCs w:val="20"/>
              </w:rPr>
              <w:t xml:space="preserve">AI-SBOM</w:t>
            </w:r>
          </w:p>
        </w:tc>
        <w:tc>
          <w:tcPr>
            <w:tcW w:type="dxa" w:w="2906"/>
            <w:gridSpan w:val="1"/>
            <w:tcBorders>
              <w:top w:val="single" w:color="CCCCCC" w:sz="4"/>
              <w:left w:val="single" w:color="CCCCCC" w:sz="4"/>
              <w:bottom w:val="single" w:color="CCCCCC" w:sz="4"/>
              <w:right w:val="single" w:color="CCCCCC" w:sz="4"/>
            </w:tcBorders>
            <w:shd w:fill="F4F6F8" w:val="clear"/>
            <w:tcMar>
              <w:top w:type="dxa" w:w="80"/>
              <w:left w:type="dxa" w:w="140"/>
              <w:bottom w:type="dxa" w:w="80"/>
              <w:right w:type="dxa" w:w="140"/>
            </w:tcMar>
            <w:vAlign w:val="center"/>
          </w:tcPr>
          <w:p>
            <w:pPr>
              <w:spacing w:after="0" w:before="0"/>
            </w:pPr>
            <w:r>
              <w:rPr>
                <w:rFonts w:ascii="Calibri" w:cs="Calibri" w:eastAsia="Calibri" w:hAnsi="Calibri"/>
                <w:b w:val="false"/>
                <w:bCs w:val="false"/>
                <w:color w:val="1A1A1A"/>
                <w:sz w:val="20"/>
                <w:szCs w:val="20"/>
              </w:rPr>
              <w:t xml:space="preserve">Anchore, custom CI step</w:t>
            </w:r>
          </w:p>
        </w:tc>
        <w:tc>
          <w:tcPr>
            <w:tcW w:type="dxa" w:w="2400"/>
            <w:gridSpan w:val="1"/>
            <w:tcBorders>
              <w:top w:val="single" w:color="CCCCCC" w:sz="4"/>
              <w:left w:val="single" w:color="CCCCCC" w:sz="4"/>
              <w:bottom w:val="single" w:color="CCCCCC" w:sz="4"/>
              <w:right w:val="single" w:color="CCCCCC" w:sz="4"/>
            </w:tcBorders>
            <w:shd w:fill="F4F6F8" w:val="clear"/>
            <w:tcMar>
              <w:top w:type="dxa" w:w="80"/>
              <w:left w:type="dxa" w:w="140"/>
              <w:bottom w:type="dxa" w:w="80"/>
              <w:right w:type="dxa" w:w="140"/>
            </w:tcMar>
            <w:vAlign w:val="center"/>
          </w:tcPr>
          <w:p>
            <w:pPr>
              <w:spacing w:after="0" w:before="0"/>
            </w:pPr>
            <w:r>
              <w:rPr>
                <w:rFonts w:ascii="Calibri" w:cs="Calibri" w:eastAsia="Calibri" w:hAnsi="Calibri"/>
                <w:b w:val="false"/>
                <w:bCs w:val="false"/>
                <w:color w:val="1A1A1A"/>
                <w:sz w:val="20"/>
                <w:szCs w:val="20"/>
              </w:rPr>
              <w:t xml:space="preserve">Custom CI step (templates in CAIR)</w:t>
            </w:r>
          </w:p>
        </w:tc>
        <w:tc>
          <w:tcPr>
            <w:tcW w:type="dxa" w:w="1800"/>
            <w:gridSpan w:val="1"/>
            <w:tcBorders>
              <w:top w:val="single" w:color="CCCCCC" w:sz="4"/>
              <w:left w:val="single" w:color="CCCCCC" w:sz="4"/>
              <w:bottom w:val="single" w:color="CCCCCC" w:sz="4"/>
              <w:right w:val="single" w:color="CCCCCC" w:sz="4"/>
            </w:tcBorders>
            <w:shd w:fill="F4F6F8" w:val="clear"/>
            <w:tcMar>
              <w:top w:type="dxa" w:w="80"/>
              <w:left w:type="dxa" w:w="140"/>
              <w:bottom w:type="dxa" w:w="80"/>
              <w:right w:type="dxa" w:w="140"/>
            </w:tcMar>
            <w:vAlign w:val="center"/>
          </w:tcPr>
          <w:p>
            <w:pPr>
              <w:spacing w:after="0" w:before="0"/>
            </w:pPr>
            <w:r>
              <w:rPr>
                <w:rFonts w:ascii="Calibri" w:cs="Calibri" w:eastAsia="Calibri" w:hAnsi="Calibri"/>
                <w:b w:val="false"/>
                <w:bCs w:val="false"/>
                <w:color w:val="1A1A1A"/>
                <w:sz w:val="20"/>
                <w:szCs w:val="20"/>
              </w:rPr>
              <w:t xml:space="preserve">Tier 3–5</w:t>
            </w:r>
          </w:p>
        </w:tc>
      </w:tr>
    </w:tbl>
    <w:p>
      <w:pPr>
        <w:spacing w:after="0" w:before="0"/>
      </w:pPr>
      <w:r>
        <w:br w:type="page"/>
      </w:r>
    </w:p>
    <w:p>
      <w:pPr>
        <w:spacing w:after="0" w:before="240"/>
      </w:pPr>
    </w:p>
    <w:p>
      <w:pPr>
        <w:spacing w:after="60" w:before="0"/>
      </w:pPr>
      <w:r>
        <w:rPr>
          <w:rFonts w:ascii="Calibri" w:cs="Calibri" w:eastAsia="Calibri" w:hAnsi="Calibri"/>
          <w:b/>
          <w:bCs/>
          <w:color w:val="0D6E6E"/>
          <w:sz w:val="13"/>
          <w:szCs w:val="13"/>
        </w:rPr>
        <w:t xml:space="preserve">15  </w:t>
      </w:r>
      <w:r>
        <w:rPr>
          <w:rFonts w:ascii="Calibri" w:cs="Calibri" w:eastAsia="Calibri" w:hAnsi="Calibri"/>
          <w:b/>
          <w:bCs/>
          <w:color w:val="4A4A4A"/>
          <w:sz w:val="13"/>
          <w:szCs w:val="13"/>
        </w:rPr>
        <w:t xml:space="preserve">GLOSSARY</w:t>
      </w:r>
    </w:p>
    <w:p>
      <w:pPr>
        <w:pStyle w:val="Heading1"/>
        <w:pBdr>
          <w:bottom w:val="single" w:color="0D6E6E" w:sz="6"/>
        </w:pBdr>
        <w:shd w:fill="1B2A4A" w:val="clear"/>
        <w:spacing w:after="200" w:before="0"/>
        <w:ind w:left="240" w:right="240"/>
      </w:pPr>
      <w:r>
        <w:rPr>
          <w:rFonts w:ascii="Calibri" w:cs="Calibri" w:eastAsia="Calibri" w:hAnsi="Calibri"/>
          <w:b/>
          <w:bCs/>
          <w:color w:val="FFFFFF"/>
          <w:sz w:val="36"/>
          <w:szCs w:val="36"/>
        </w:rPr>
        <w:t xml:space="preserve">Glossary</w:t>
      </w:r>
    </w:p>
    <w:p>
      <w:pPr>
        <w:spacing w:after="0" w:before="60"/>
      </w:pP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400"/>
        <w:gridCol w:w="7106"/>
      </w:tblGrid>
      <w:tr>
        <w:trPr>
          <w:tblHeader/>
        </w:trPr>
        <w:tc>
          <w:tcPr>
            <w:tcW w:type="dxa" w:w="2400"/>
            <w:gridSpan w:val="1"/>
            <w:tcBorders>
              <w:top w:val="single" w:color="CCCCCC" w:sz="4"/>
              <w:left w:val="single" w:color="CCCCCC" w:sz="4"/>
              <w:bottom w:val="single" w:color="CCCCCC" w:sz="4"/>
              <w:right w:val="single" w:color="CCCCCC" w:sz="4"/>
            </w:tcBorders>
            <w:shd w:fill="1B2A4A" w:val="clear"/>
            <w:tcMar>
              <w:top w:type="dxa" w:w="80"/>
              <w:left w:type="dxa" w:w="140"/>
              <w:bottom w:type="dxa" w:w="80"/>
              <w:right w:type="dxa" w:w="140"/>
            </w:tcMar>
            <w:vAlign w:val="center"/>
          </w:tcPr>
          <w:p>
            <w:pPr>
              <w:spacing w:after="0" w:before="0"/>
            </w:pPr>
            <w:r>
              <w:rPr>
                <w:rFonts w:ascii="Calibri" w:cs="Calibri" w:eastAsia="Calibri" w:hAnsi="Calibri"/>
                <w:b/>
                <w:bCs/>
                <w:color w:val="FFFFFF"/>
                <w:sz w:val="20"/>
                <w:szCs w:val="20"/>
              </w:rPr>
              <w:t xml:space="preserve">Term</w:t>
            </w:r>
          </w:p>
        </w:tc>
        <w:tc>
          <w:tcPr>
            <w:tcW w:type="dxa" w:w="7106"/>
            <w:gridSpan w:val="1"/>
            <w:tcBorders>
              <w:top w:val="single" w:color="CCCCCC" w:sz="4"/>
              <w:left w:val="single" w:color="CCCCCC" w:sz="4"/>
              <w:bottom w:val="single" w:color="CCCCCC" w:sz="4"/>
              <w:right w:val="single" w:color="CCCCCC" w:sz="4"/>
            </w:tcBorders>
            <w:shd w:fill="1B2A4A" w:val="clear"/>
            <w:tcMar>
              <w:top w:type="dxa" w:w="80"/>
              <w:left w:type="dxa" w:w="140"/>
              <w:bottom w:type="dxa" w:w="80"/>
              <w:right w:type="dxa" w:w="140"/>
            </w:tcMar>
            <w:vAlign w:val="center"/>
          </w:tcPr>
          <w:p>
            <w:pPr>
              <w:spacing w:after="0" w:before="0"/>
            </w:pPr>
            <w:r>
              <w:rPr>
                <w:rFonts w:ascii="Calibri" w:cs="Calibri" w:eastAsia="Calibri" w:hAnsi="Calibri"/>
                <w:b/>
                <w:bCs/>
                <w:color w:val="FFFFFF"/>
                <w:sz w:val="20"/>
                <w:szCs w:val="20"/>
              </w:rPr>
              <w:t xml:space="preserve">Definition</w:t>
            </w:r>
          </w:p>
        </w:tc>
      </w:tr>
      <w:tr>
        <w:tc>
          <w:tcPr>
            <w:tcW w:type="dxa" w:w="240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after="0" w:before="0"/>
            </w:pPr>
            <w:r>
              <w:rPr>
                <w:rFonts w:ascii="Calibri" w:cs="Calibri" w:eastAsia="Calibri" w:hAnsi="Calibri"/>
                <w:b w:val="false"/>
                <w:bCs w:val="false"/>
                <w:color w:val="1A1A1A"/>
                <w:sz w:val="20"/>
                <w:szCs w:val="20"/>
              </w:rPr>
              <w:t xml:space="preserve">AI-blement</w:t>
            </w:r>
          </w:p>
        </w:tc>
        <w:tc>
          <w:tcPr>
            <w:tcW w:type="dxa" w:w="7106"/>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after="0" w:before="0"/>
            </w:pPr>
            <w:r>
              <w:rPr>
                <w:rFonts w:ascii="Calibri" w:cs="Calibri" w:eastAsia="Calibri" w:hAnsi="Calibri"/>
                <w:b w:val="false"/>
                <w:bCs w:val="false"/>
                <w:color w:val="1A1A1A"/>
                <w:sz w:val="20"/>
                <w:szCs w:val="20"/>
              </w:rPr>
              <w:t xml:space="preserve">The enabling of enterprise capability through structured, governed AI adoption — empowerment, not just enablement.</w:t>
            </w:r>
          </w:p>
        </w:tc>
      </w:tr>
      <w:tr>
        <w:tc>
          <w:tcPr>
            <w:tcW w:type="dxa" w:w="2400"/>
            <w:gridSpan w:val="1"/>
            <w:tcBorders>
              <w:top w:val="single" w:color="CCCCCC" w:sz="4"/>
              <w:left w:val="single" w:color="CCCCCC" w:sz="4"/>
              <w:bottom w:val="single" w:color="CCCCCC" w:sz="4"/>
              <w:right w:val="single" w:color="CCCCCC" w:sz="4"/>
            </w:tcBorders>
            <w:shd w:fill="F4F6F8" w:val="clear"/>
            <w:tcMar>
              <w:top w:type="dxa" w:w="80"/>
              <w:left w:type="dxa" w:w="140"/>
              <w:bottom w:type="dxa" w:w="80"/>
              <w:right w:type="dxa" w:w="140"/>
            </w:tcMar>
            <w:vAlign w:val="center"/>
          </w:tcPr>
          <w:p>
            <w:pPr>
              <w:spacing w:after="0" w:before="0"/>
            </w:pPr>
            <w:r>
              <w:rPr>
                <w:rFonts w:ascii="Calibri" w:cs="Calibri" w:eastAsia="Calibri" w:hAnsi="Calibri"/>
                <w:b w:val="false"/>
                <w:bCs w:val="false"/>
                <w:color w:val="1A1A1A"/>
                <w:sz w:val="20"/>
                <w:szCs w:val="20"/>
              </w:rPr>
              <w:t xml:space="preserve">AI-DLC</w:t>
            </w:r>
          </w:p>
        </w:tc>
        <w:tc>
          <w:tcPr>
            <w:tcW w:type="dxa" w:w="7106"/>
            <w:gridSpan w:val="1"/>
            <w:tcBorders>
              <w:top w:val="single" w:color="CCCCCC" w:sz="4"/>
              <w:left w:val="single" w:color="CCCCCC" w:sz="4"/>
              <w:bottom w:val="single" w:color="CCCCCC" w:sz="4"/>
              <w:right w:val="single" w:color="CCCCCC" w:sz="4"/>
            </w:tcBorders>
            <w:shd w:fill="F4F6F8" w:val="clear"/>
            <w:tcMar>
              <w:top w:type="dxa" w:w="80"/>
              <w:left w:type="dxa" w:w="140"/>
              <w:bottom w:type="dxa" w:w="80"/>
              <w:right w:type="dxa" w:w="140"/>
            </w:tcMar>
            <w:vAlign w:val="center"/>
          </w:tcPr>
          <w:p>
            <w:pPr>
              <w:spacing w:after="0" w:before="0"/>
            </w:pPr>
            <w:r>
              <w:rPr>
                <w:rFonts w:ascii="Calibri" w:cs="Calibri" w:eastAsia="Calibri" w:hAnsi="Calibri"/>
                <w:b w:val="false"/>
                <w:bCs w:val="false"/>
                <w:color w:val="1A1A1A"/>
                <w:sz w:val="20"/>
                <w:szCs w:val="20"/>
              </w:rPr>
              <w:t xml:space="preserve">AI-Driven Development Lifecycle — the structured methodology for embedding AI into each phase of software development with mandatory human checkpoints.</w:t>
            </w:r>
          </w:p>
        </w:tc>
      </w:tr>
      <w:tr>
        <w:tc>
          <w:tcPr>
            <w:tcW w:type="dxa" w:w="240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after="0" w:before="0"/>
            </w:pPr>
            <w:r>
              <w:rPr>
                <w:rFonts w:ascii="Calibri" w:cs="Calibri" w:eastAsia="Calibri" w:hAnsi="Calibri"/>
                <w:b w:val="false"/>
                <w:bCs w:val="false"/>
                <w:color w:val="1A1A1A"/>
                <w:sz w:val="20"/>
                <w:szCs w:val="20"/>
              </w:rPr>
              <w:t xml:space="preserve">AI Gateway Proxy</w:t>
            </w:r>
          </w:p>
        </w:tc>
        <w:tc>
          <w:tcPr>
            <w:tcW w:type="dxa" w:w="7106"/>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after="0" w:before="0"/>
            </w:pPr>
            <w:r>
              <w:rPr>
                <w:rFonts w:ascii="Calibri" w:cs="Calibri" w:eastAsia="Calibri" w:hAnsi="Calibri"/>
                <w:b w:val="false"/>
                <w:bCs w:val="false"/>
                <w:color w:val="1A1A1A"/>
                <w:sz w:val="20"/>
                <w:szCs w:val="20"/>
              </w:rPr>
              <w:t xml:space="preserve">An internally managed reverse proxy that intercepts all AI API calls for authentication, logging, PII scanning, compliance context injection, and cost tagging.</w:t>
            </w:r>
          </w:p>
        </w:tc>
      </w:tr>
      <w:tr>
        <w:tc>
          <w:tcPr>
            <w:tcW w:type="dxa" w:w="2400"/>
            <w:gridSpan w:val="1"/>
            <w:tcBorders>
              <w:top w:val="single" w:color="CCCCCC" w:sz="4"/>
              <w:left w:val="single" w:color="CCCCCC" w:sz="4"/>
              <w:bottom w:val="single" w:color="CCCCCC" w:sz="4"/>
              <w:right w:val="single" w:color="CCCCCC" w:sz="4"/>
            </w:tcBorders>
            <w:shd w:fill="F4F6F8" w:val="clear"/>
            <w:tcMar>
              <w:top w:type="dxa" w:w="80"/>
              <w:left w:type="dxa" w:w="140"/>
              <w:bottom w:type="dxa" w:w="80"/>
              <w:right w:type="dxa" w:w="140"/>
            </w:tcMar>
            <w:vAlign w:val="center"/>
          </w:tcPr>
          <w:p>
            <w:pPr>
              <w:spacing w:after="0" w:before="0"/>
            </w:pPr>
            <w:r>
              <w:rPr>
                <w:rFonts w:ascii="Calibri" w:cs="Calibri" w:eastAsia="Calibri" w:hAnsi="Calibri"/>
                <w:b w:val="false"/>
                <w:bCs w:val="false"/>
                <w:color w:val="1A1A1A"/>
                <w:sz w:val="20"/>
                <w:szCs w:val="20"/>
              </w:rPr>
              <w:t xml:space="preserve">AI Quality Report</w:t>
            </w:r>
          </w:p>
        </w:tc>
        <w:tc>
          <w:tcPr>
            <w:tcW w:type="dxa" w:w="7106"/>
            <w:gridSpan w:val="1"/>
            <w:tcBorders>
              <w:top w:val="single" w:color="CCCCCC" w:sz="4"/>
              <w:left w:val="single" w:color="CCCCCC" w:sz="4"/>
              <w:bottom w:val="single" w:color="CCCCCC" w:sz="4"/>
              <w:right w:val="single" w:color="CCCCCC" w:sz="4"/>
            </w:tcBorders>
            <w:shd w:fill="F4F6F8" w:val="clear"/>
            <w:tcMar>
              <w:top w:type="dxa" w:w="80"/>
              <w:left w:type="dxa" w:w="140"/>
              <w:bottom w:type="dxa" w:w="80"/>
              <w:right w:type="dxa" w:w="140"/>
            </w:tcMar>
            <w:vAlign w:val="center"/>
          </w:tcPr>
          <w:p>
            <w:pPr>
              <w:spacing w:after="0" w:before="0"/>
            </w:pPr>
            <w:r>
              <w:rPr>
                <w:rFonts w:ascii="Calibri" w:cs="Calibri" w:eastAsia="Calibri" w:hAnsi="Calibri"/>
                <w:b w:val="false"/>
                <w:bCs w:val="false"/>
                <w:color w:val="1A1A1A"/>
                <w:sz w:val="20"/>
                <w:szCs w:val="20"/>
              </w:rPr>
              <w:t xml:space="preserve">Monthly report tracking security and quality metrics of AI-generated code across teams and projects.</w:t>
            </w:r>
          </w:p>
        </w:tc>
      </w:tr>
      <w:tr>
        <w:tc>
          <w:tcPr>
            <w:tcW w:type="dxa" w:w="240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after="0" w:before="0"/>
            </w:pPr>
            <w:r>
              <w:rPr>
                <w:rFonts w:ascii="Calibri" w:cs="Calibri" w:eastAsia="Calibri" w:hAnsi="Calibri"/>
                <w:b w:val="false"/>
                <w:bCs w:val="false"/>
                <w:color w:val="1A1A1A"/>
                <w:sz w:val="20"/>
                <w:szCs w:val="20"/>
              </w:rPr>
              <w:t xml:space="preserve">AI-SBOM</w:t>
            </w:r>
          </w:p>
        </w:tc>
        <w:tc>
          <w:tcPr>
            <w:tcW w:type="dxa" w:w="7106"/>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after="0" w:before="0"/>
            </w:pPr>
            <w:r>
              <w:rPr>
                <w:rFonts w:ascii="Calibri" w:cs="Calibri" w:eastAsia="Calibri" w:hAnsi="Calibri"/>
                <w:b w:val="false"/>
                <w:bCs w:val="false"/>
                <w:color w:val="1A1A1A"/>
                <w:sz w:val="20"/>
                <w:szCs w:val="20"/>
              </w:rPr>
              <w:t xml:space="preserve">AI Software Bill of Materials — a machine-readable manifest declaring the degree and nature of AI involvement in a codebase.</w:t>
            </w:r>
          </w:p>
        </w:tc>
      </w:tr>
      <w:tr>
        <w:tc>
          <w:tcPr>
            <w:tcW w:type="dxa" w:w="2400"/>
            <w:gridSpan w:val="1"/>
            <w:tcBorders>
              <w:top w:val="single" w:color="CCCCCC" w:sz="4"/>
              <w:left w:val="single" w:color="CCCCCC" w:sz="4"/>
              <w:bottom w:val="single" w:color="CCCCCC" w:sz="4"/>
              <w:right w:val="single" w:color="CCCCCC" w:sz="4"/>
            </w:tcBorders>
            <w:shd w:fill="F4F6F8" w:val="clear"/>
            <w:tcMar>
              <w:top w:type="dxa" w:w="80"/>
              <w:left w:type="dxa" w:w="140"/>
              <w:bottom w:type="dxa" w:w="80"/>
              <w:right w:type="dxa" w:w="140"/>
            </w:tcMar>
            <w:vAlign w:val="center"/>
          </w:tcPr>
          <w:p>
            <w:pPr>
              <w:spacing w:after="0" w:before="0"/>
            </w:pPr>
            <w:r>
              <w:rPr>
                <w:rFonts w:ascii="Calibri" w:cs="Calibri" w:eastAsia="Calibri" w:hAnsi="Calibri"/>
                <w:b w:val="false"/>
                <w:bCs w:val="false"/>
                <w:color w:val="1A1A1A"/>
                <w:sz w:val="20"/>
                <w:szCs w:val="20"/>
              </w:rPr>
              <w:t xml:space="preserve">CAIR</w:t>
            </w:r>
          </w:p>
        </w:tc>
        <w:tc>
          <w:tcPr>
            <w:tcW w:type="dxa" w:w="7106"/>
            <w:gridSpan w:val="1"/>
            <w:tcBorders>
              <w:top w:val="single" w:color="CCCCCC" w:sz="4"/>
              <w:left w:val="single" w:color="CCCCCC" w:sz="4"/>
              <w:bottom w:val="single" w:color="CCCCCC" w:sz="4"/>
              <w:right w:val="single" w:color="CCCCCC" w:sz="4"/>
            </w:tcBorders>
            <w:shd w:fill="F4F6F8" w:val="clear"/>
            <w:tcMar>
              <w:top w:type="dxa" w:w="80"/>
              <w:left w:type="dxa" w:w="140"/>
              <w:bottom w:type="dxa" w:w="80"/>
              <w:right w:type="dxa" w:w="140"/>
            </w:tcMar>
            <w:vAlign w:val="center"/>
          </w:tcPr>
          <w:p>
            <w:pPr>
              <w:spacing w:after="0" w:before="0"/>
            </w:pPr>
            <w:r>
              <w:rPr>
                <w:rFonts w:ascii="Calibri" w:cs="Calibri" w:eastAsia="Calibri" w:hAnsi="Calibri"/>
                <w:b w:val="false"/>
                <w:bCs w:val="false"/>
                <w:color w:val="1A1A1A"/>
                <w:sz w:val="20"/>
                <w:szCs w:val="20"/>
              </w:rPr>
              <w:t xml:space="preserve">Central AI Registry — the organisation's governed catalogue of approved AI tools, prompts, agents, skills, and MCP integrations.</w:t>
            </w:r>
          </w:p>
        </w:tc>
      </w:tr>
      <w:tr>
        <w:tc>
          <w:tcPr>
            <w:tcW w:type="dxa" w:w="240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after="0" w:before="0"/>
            </w:pPr>
            <w:r>
              <w:rPr>
                <w:rFonts w:ascii="Calibri" w:cs="Calibri" w:eastAsia="Calibri" w:hAnsi="Calibri"/>
                <w:b w:val="false"/>
                <w:bCs w:val="false"/>
                <w:color w:val="1A1A1A"/>
                <w:sz w:val="20"/>
                <w:szCs w:val="20"/>
              </w:rPr>
              <w:t xml:space="preserve">Compliance Context File</w:t>
            </w:r>
          </w:p>
        </w:tc>
        <w:tc>
          <w:tcPr>
            <w:tcW w:type="dxa" w:w="7106"/>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after="0" w:before="0"/>
            </w:pPr>
            <w:r>
              <w:rPr>
                <w:rFonts w:ascii="Calibri" w:cs="Calibri" w:eastAsia="Calibri" w:hAnsi="Calibri"/>
                <w:b w:val="false"/>
                <w:bCs w:val="false"/>
                <w:color w:val="1A1A1A"/>
                <w:sz w:val="20"/>
                <w:szCs w:val="20"/>
              </w:rPr>
              <w:t xml:space="preserve">.ai-context.yaml — a per-project file that injects regulatory and data handling context into all AI interactions automatically.</w:t>
            </w:r>
          </w:p>
        </w:tc>
      </w:tr>
      <w:tr>
        <w:tc>
          <w:tcPr>
            <w:tcW w:type="dxa" w:w="2400"/>
            <w:gridSpan w:val="1"/>
            <w:tcBorders>
              <w:top w:val="single" w:color="CCCCCC" w:sz="4"/>
              <w:left w:val="single" w:color="CCCCCC" w:sz="4"/>
              <w:bottom w:val="single" w:color="CCCCCC" w:sz="4"/>
              <w:right w:val="single" w:color="CCCCCC" w:sz="4"/>
            </w:tcBorders>
            <w:shd w:fill="F4F6F8" w:val="clear"/>
            <w:tcMar>
              <w:top w:type="dxa" w:w="80"/>
              <w:left w:type="dxa" w:w="140"/>
              <w:bottom w:type="dxa" w:w="80"/>
              <w:right w:type="dxa" w:w="140"/>
            </w:tcMar>
            <w:vAlign w:val="center"/>
          </w:tcPr>
          <w:p>
            <w:pPr>
              <w:spacing w:after="0" w:before="0"/>
            </w:pPr>
            <w:r>
              <w:rPr>
                <w:rFonts w:ascii="Calibri" w:cs="Calibri" w:eastAsia="Calibri" w:hAnsi="Calibri"/>
                <w:b w:val="false"/>
                <w:bCs w:val="false"/>
                <w:color w:val="1A1A1A"/>
                <w:sz w:val="20"/>
                <w:szCs w:val="20"/>
              </w:rPr>
              <w:t xml:space="preserve">MCP</w:t>
            </w:r>
          </w:p>
        </w:tc>
        <w:tc>
          <w:tcPr>
            <w:tcW w:type="dxa" w:w="7106"/>
            <w:gridSpan w:val="1"/>
            <w:tcBorders>
              <w:top w:val="single" w:color="CCCCCC" w:sz="4"/>
              <w:left w:val="single" w:color="CCCCCC" w:sz="4"/>
              <w:bottom w:val="single" w:color="CCCCCC" w:sz="4"/>
              <w:right w:val="single" w:color="CCCCCC" w:sz="4"/>
            </w:tcBorders>
            <w:shd w:fill="F4F6F8" w:val="clear"/>
            <w:tcMar>
              <w:top w:type="dxa" w:w="80"/>
              <w:left w:type="dxa" w:w="140"/>
              <w:bottom w:type="dxa" w:w="80"/>
              <w:right w:type="dxa" w:w="140"/>
            </w:tcMar>
            <w:vAlign w:val="center"/>
          </w:tcPr>
          <w:p>
            <w:pPr>
              <w:spacing w:after="0" w:before="0"/>
            </w:pPr>
            <w:r>
              <w:rPr>
                <w:rFonts w:ascii="Calibri" w:cs="Calibri" w:eastAsia="Calibri" w:hAnsi="Calibri"/>
                <w:b w:val="false"/>
                <w:bCs w:val="false"/>
                <w:color w:val="1A1A1A"/>
                <w:sz w:val="20"/>
                <w:szCs w:val="20"/>
              </w:rPr>
              <w:t xml:space="preserve">Model Context Protocol — a standard for connecting AI agents to external tools, services, and data sources.</w:t>
            </w:r>
          </w:p>
        </w:tc>
      </w:tr>
      <w:tr>
        <w:tc>
          <w:tcPr>
            <w:tcW w:type="dxa" w:w="240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after="0" w:before="0"/>
            </w:pPr>
            <w:r>
              <w:rPr>
                <w:rFonts w:ascii="Calibri" w:cs="Calibri" w:eastAsia="Calibri" w:hAnsi="Calibri"/>
                <w:b w:val="false"/>
                <w:bCs w:val="false"/>
                <w:color w:val="1A1A1A"/>
                <w:sz w:val="20"/>
                <w:szCs w:val="20"/>
              </w:rPr>
              <w:t xml:space="preserve">Prompt Injection</w:t>
            </w:r>
          </w:p>
        </w:tc>
        <w:tc>
          <w:tcPr>
            <w:tcW w:type="dxa" w:w="7106"/>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after="0" w:before="0"/>
            </w:pPr>
            <w:r>
              <w:rPr>
                <w:rFonts w:ascii="Calibri" w:cs="Calibri" w:eastAsia="Calibri" w:hAnsi="Calibri"/>
                <w:b w:val="false"/>
                <w:bCs w:val="false"/>
                <w:color w:val="1A1A1A"/>
                <w:sz w:val="20"/>
                <w:szCs w:val="20"/>
              </w:rPr>
              <w:t xml:space="preserve">An attack where adversarial content in data manipulates an AI agent into performing actions outside its intended scope.</w:t>
            </w:r>
          </w:p>
        </w:tc>
      </w:tr>
      <w:tr>
        <w:tc>
          <w:tcPr>
            <w:tcW w:type="dxa" w:w="2400"/>
            <w:gridSpan w:val="1"/>
            <w:tcBorders>
              <w:top w:val="single" w:color="CCCCCC" w:sz="4"/>
              <w:left w:val="single" w:color="CCCCCC" w:sz="4"/>
              <w:bottom w:val="single" w:color="CCCCCC" w:sz="4"/>
              <w:right w:val="single" w:color="CCCCCC" w:sz="4"/>
            </w:tcBorders>
            <w:shd w:fill="F4F6F8" w:val="clear"/>
            <w:tcMar>
              <w:top w:type="dxa" w:w="80"/>
              <w:left w:type="dxa" w:w="140"/>
              <w:bottom w:type="dxa" w:w="80"/>
              <w:right w:type="dxa" w:w="140"/>
            </w:tcMar>
            <w:vAlign w:val="center"/>
          </w:tcPr>
          <w:p>
            <w:pPr>
              <w:spacing w:after="0" w:before="0"/>
            </w:pPr>
            <w:r>
              <w:rPr>
                <w:rFonts w:ascii="Calibri" w:cs="Calibri" w:eastAsia="Calibri" w:hAnsi="Calibri"/>
                <w:b w:val="false"/>
                <w:bCs w:val="false"/>
                <w:color w:val="1A1A1A"/>
                <w:sz w:val="20"/>
                <w:szCs w:val="20"/>
              </w:rPr>
              <w:t xml:space="preserve">Shadow AI</w:t>
            </w:r>
          </w:p>
        </w:tc>
        <w:tc>
          <w:tcPr>
            <w:tcW w:type="dxa" w:w="7106"/>
            <w:gridSpan w:val="1"/>
            <w:tcBorders>
              <w:top w:val="single" w:color="CCCCCC" w:sz="4"/>
              <w:left w:val="single" w:color="CCCCCC" w:sz="4"/>
              <w:bottom w:val="single" w:color="CCCCCC" w:sz="4"/>
              <w:right w:val="single" w:color="CCCCCC" w:sz="4"/>
            </w:tcBorders>
            <w:shd w:fill="F4F6F8" w:val="clear"/>
            <w:tcMar>
              <w:top w:type="dxa" w:w="80"/>
              <w:left w:type="dxa" w:w="140"/>
              <w:bottom w:type="dxa" w:w="80"/>
              <w:right w:type="dxa" w:w="140"/>
            </w:tcMar>
            <w:vAlign w:val="center"/>
          </w:tcPr>
          <w:p>
            <w:pPr>
              <w:spacing w:after="0" w:before="0"/>
            </w:pPr>
            <w:r>
              <w:rPr>
                <w:rFonts w:ascii="Calibri" w:cs="Calibri" w:eastAsia="Calibri" w:hAnsi="Calibri"/>
                <w:b w:val="false"/>
                <w:bCs w:val="false"/>
                <w:color w:val="1A1A1A"/>
                <w:sz w:val="20"/>
                <w:szCs w:val="20"/>
              </w:rPr>
              <w:t xml:space="preserve">Use of AI tools not listed in the approved registry, typically on company or client work, outside any governance or DPA framework.</w:t>
            </w:r>
          </w:p>
        </w:tc>
      </w:tr>
      <w:tr>
        <w:tc>
          <w:tcPr>
            <w:tcW w:type="dxa" w:w="2400"/>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after="0" w:before="0"/>
            </w:pPr>
            <w:r>
              <w:rPr>
                <w:rFonts w:ascii="Calibri" w:cs="Calibri" w:eastAsia="Calibri" w:hAnsi="Calibri"/>
                <w:b w:val="false"/>
                <w:bCs w:val="false"/>
                <w:color w:val="1A1A1A"/>
                <w:sz w:val="20"/>
                <w:szCs w:val="20"/>
              </w:rPr>
              <w:t xml:space="preserve">Tier</w:t>
            </w:r>
          </w:p>
        </w:tc>
        <w:tc>
          <w:tcPr>
            <w:tcW w:type="dxa" w:w="7106"/>
            <w:gridSpan w:val="1"/>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spacing w:after="0" w:before="0"/>
            </w:pPr>
            <w:r>
              <w:rPr>
                <w:rFonts w:ascii="Calibri" w:cs="Calibri" w:eastAsia="Calibri" w:hAnsi="Calibri"/>
                <w:b w:val="false"/>
                <w:bCs w:val="false"/>
                <w:color w:val="1A1A1A"/>
                <w:sz w:val="20"/>
                <w:szCs w:val="20"/>
              </w:rPr>
              <w:t xml:space="preserve">One of five access levels (1–5) classifying the autonomy and risk level of AI tool usage, with escalating approval requirements.</w:t>
            </w:r>
          </w:p>
        </w:tc>
      </w:tr>
      <w:tr>
        <w:tc>
          <w:tcPr>
            <w:tcW w:type="dxa" w:w="2400"/>
            <w:gridSpan w:val="1"/>
            <w:tcBorders>
              <w:top w:val="single" w:color="CCCCCC" w:sz="4"/>
              <w:left w:val="single" w:color="CCCCCC" w:sz="4"/>
              <w:bottom w:val="single" w:color="CCCCCC" w:sz="4"/>
              <w:right w:val="single" w:color="CCCCCC" w:sz="4"/>
            </w:tcBorders>
            <w:shd w:fill="F4F6F8" w:val="clear"/>
            <w:tcMar>
              <w:top w:type="dxa" w:w="80"/>
              <w:left w:type="dxa" w:w="140"/>
              <w:bottom w:type="dxa" w:w="80"/>
              <w:right w:type="dxa" w:w="140"/>
            </w:tcMar>
            <w:vAlign w:val="center"/>
          </w:tcPr>
          <w:p>
            <w:pPr>
              <w:spacing w:after="0" w:before="0"/>
            </w:pPr>
            <w:r>
              <w:rPr>
                <w:rFonts w:ascii="Calibri" w:cs="Calibri" w:eastAsia="Calibri" w:hAnsi="Calibri"/>
                <w:b w:val="false"/>
                <w:bCs w:val="false"/>
                <w:color w:val="1A1A1A"/>
                <w:sz w:val="20"/>
                <w:szCs w:val="20"/>
              </w:rPr>
              <w:t xml:space="preserve">AI Champion</w:t>
            </w:r>
          </w:p>
        </w:tc>
        <w:tc>
          <w:tcPr>
            <w:tcW w:type="dxa" w:w="7106"/>
            <w:gridSpan w:val="1"/>
            <w:tcBorders>
              <w:top w:val="single" w:color="CCCCCC" w:sz="4"/>
              <w:left w:val="single" w:color="CCCCCC" w:sz="4"/>
              <w:bottom w:val="single" w:color="CCCCCC" w:sz="4"/>
              <w:right w:val="single" w:color="CCCCCC" w:sz="4"/>
            </w:tcBorders>
            <w:shd w:fill="F4F6F8" w:val="clear"/>
            <w:tcMar>
              <w:top w:type="dxa" w:w="80"/>
              <w:left w:type="dxa" w:w="140"/>
              <w:bottom w:type="dxa" w:w="80"/>
              <w:right w:type="dxa" w:w="140"/>
            </w:tcMar>
            <w:vAlign w:val="center"/>
          </w:tcPr>
          <w:p>
            <w:pPr>
              <w:spacing w:after="0" w:before="0"/>
            </w:pPr>
            <w:r>
              <w:rPr>
                <w:rFonts w:ascii="Calibri" w:cs="Calibri" w:eastAsia="Calibri" w:hAnsi="Calibri"/>
                <w:b w:val="false"/>
                <w:bCs w:val="false"/>
                <w:color w:val="1A1A1A"/>
                <w:sz w:val="20"/>
                <w:szCs w:val="20"/>
              </w:rPr>
              <w:t xml:space="preserve">A team-level advocate and first-line support person for AI tooling adoption, responsible for local training and escalation routing.</w:t>
            </w:r>
          </w:p>
        </w:tc>
      </w:tr>
    </w:tbl>
    <w:p>
      <w:pPr>
        <w:spacing w:after="0" w:before="0"/>
      </w:pPr>
      <w:r>
        <w:br w:type="page"/>
      </w:r>
    </w:p>
    <w:p>
      <w:pPr>
        <w:spacing w:after="0" w:before="400"/>
      </w:pPr>
    </w:p>
    <w:p>
      <w:pPr>
        <w:spacing w:after="240" w:before="0"/>
        <w:jc w:val="center"/>
      </w:pPr>
      <w:r>
        <w:rPr>
          <w:rFonts w:ascii="Calibri" w:cs="Calibri" w:eastAsia="Calibri" w:hAnsi="Calibri"/>
          <w:b/>
          <w:bCs/>
          <w:color w:val="1B2A4A"/>
          <w:sz w:val="36"/>
          <w:szCs w:val="36"/>
        </w:rPr>
        <w:t xml:space="preserve">Conclusion</w:t>
      </w:r>
    </w:p>
    <w:p>
      <w:pPr>
        <w:spacing w:after="320" w:before="0"/>
        <w:jc w:val="center"/>
      </w:pPr>
      <w:r>
        <w:rPr>
          <w:rFonts w:ascii="Calibri" w:cs="Calibri" w:eastAsia="Calibri" w:hAnsi="Calibri"/>
          <w:color w:val="0D6E6E"/>
          <w:sz w:val="32"/>
          <w:szCs w:val="32"/>
        </w:rPr>
        <w:t xml:space="preserve">—</w:t>
      </w:r>
    </w:p>
    <w:p>
      <w:pPr>
        <w:spacing w:after="120" w:before="80" w:line="320"/>
        <w:jc w:val="both"/>
      </w:pPr>
      <w:r>
        <w:rPr>
          <w:rFonts w:ascii="Georgia" w:cs="Georgia" w:eastAsia="Georgia" w:hAnsi="Georgia"/>
          <w:color w:val="1A1A1A"/>
          <w:sz w:val="22"/>
          <w:szCs w:val="22"/>
        </w:rPr>
        <w:t xml:space="preserve">The era of AI-assisted and AI-driven software development is not approaching — it is here. Organisations that treat this as a simple productivity story will capture a fraction of the available benefit and inherit a growing backlog of security and compliance risk. Organisations that treat it as a governance problem will move too slowly to compete. The AI-blement Framework is built on the conviction that these are not in tension: that the fastest path to sustainable AI productivity runs through structured governance, not around it.</w:t>
      </w:r>
    </w:p>
    <w:p>
      <w:pPr>
        <w:spacing w:after="0" w:before="80"/>
      </w:pPr>
    </w:p>
    <w:p>
      <w:pPr>
        <w:spacing w:after="120" w:before="80" w:line="320"/>
        <w:jc w:val="both"/>
      </w:pPr>
      <w:r>
        <w:rPr>
          <w:rFonts w:ascii="Georgia" w:cs="Georgia" w:eastAsia="Georgia" w:hAnsi="Georgia"/>
          <w:color w:val="1A1A1A"/>
          <w:sz w:val="22"/>
          <w:szCs w:val="22"/>
        </w:rPr>
        <w:t xml:space="preserve">The framework presented in this paper is not a final destination. It is a version 1.0 — an operational starting point designed to be deployed in 90 days, refined continuously, and adapted to the specific regulatory, commercial, and cultural context of each organisation. The prompt library will grow. The agent registry will expand. New standards will emerge. The principles will hold.</w:t>
      </w:r>
    </w:p>
    <w:p>
      <w:pPr>
        <w:spacing w:after="0" w:before="80"/>
      </w:pPr>
    </w:p>
    <w:p>
      <w:pPr>
        <w:pBdr>
          <w:left w:val="single" w:color="0D6E6E" w:sz="16" w:space="8"/>
        </w:pBdr>
        <w:shd w:fill="E8F1F8" w:val="clear"/>
        <w:spacing w:after="160" w:before="160" w:line="320"/>
        <w:ind w:left="360" w:right="360"/>
      </w:pPr>
      <w:r>
        <w:rPr>
          <w:rFonts w:ascii="Georgia" w:cs="Georgia" w:eastAsia="Georgia" w:hAnsi="Georgia"/>
          <w:i/>
          <w:iCs/>
          <w:color w:val="1B2A4A"/>
          <w:sz w:val="22"/>
          <w:szCs w:val="22"/>
        </w:rPr>
        <w:t xml:space="preserve">The question for every organisation is not whether to adopt AI in software development. That question has been answered. The question is whether to adopt it in a way that compounds advantage or compounds risk. This framework is designed to ensure it is the former.</w:t>
      </w:r>
    </w:p>
    <w:p>
      <w:pPr>
        <w:spacing w:after="0" w:before="200"/>
      </w:pPr>
    </w:p>
    <w:p>
      <w:pPr>
        <w:spacing w:after="80" w:before="0"/>
      </w:pPr>
      <w:r>
        <w:rPr>
          <w:rFonts w:ascii="Calibri" w:cs="Calibri" w:eastAsia="Calibri" w:hAnsi="Calibri"/>
          <w:b/>
          <w:bCs/>
          <w:color w:val="4A4A4A"/>
          <w:sz w:val="22"/>
          <w:szCs w:val="22"/>
        </w:rPr>
        <w:t xml:space="preserve">Document Control</w:t>
      </w:r>
    </w:p>
    <w:p>
      <w:pPr>
        <w:spacing w:after="40" w:before="0"/>
      </w:pPr>
      <w:r>
        <w:rPr>
          <w:rFonts w:ascii="Calibri" w:cs="Calibri" w:eastAsia="Calibri" w:hAnsi="Calibri"/>
          <w:color w:val="4A4A4A"/>
          <w:sz w:val="18"/>
          <w:szCs w:val="18"/>
        </w:rPr>
        <w:t xml:space="preserve">Version 1.0  •  March 2026  •  Owner: CTO Office + Security Team  •  Next Review: June 2026</w:t>
      </w:r>
    </w:p>
    <w:p>
      <w:pPr>
        <w:spacing w:after="0" w:before="0"/>
      </w:pPr>
      <w:r>
        <w:rPr>
          <w:rFonts w:ascii="Georgia" w:cs="Georgia" w:eastAsia="Georgia" w:hAnsi="Georgia"/>
          <w:i/>
          <w:iCs/>
          <w:color w:val="4A4A4A"/>
          <w:sz w:val="18"/>
          <w:szCs w:val="18"/>
        </w:rPr>
        <w:t xml:space="preserve">This document is a living standard. Suggested revisions should be submitted to the Engineering Leadership group via the internal CAIR repository.</w:t>
      </w:r>
    </w:p>
    <w:sectPr>
      <w:headerReference w:type="default" r:id="rId7"/>
      <w:footerReference w:type="default" r:id="rId8"/>
      <w:pgSz w:w="11906" w:h="16838" w:orient="portrait"/>
      <w:pgMar w:top="1260" w:right="1200" w:bottom="126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D6E6E" w:sz="4" w:space="4"/>
      </w:pBdr>
      <w:tabs>
        <w:tab w:val="right" w:pos="8506"/>
      </w:tabs>
      <w:spacing w:before="120"/>
    </w:pPr>
    <w:r>
      <w:rPr>
        <w:rFonts w:ascii="Calibri" w:cs="Calibri" w:eastAsia="Calibri" w:hAnsi="Calibri"/>
        <w:color w:val="4A4A4A"/>
        <w:sz w:val="16"/>
        <w:szCs w:val="16"/>
      </w:rPr>
      <w:t xml:space="preserve">Confidential • Version 1.0 • March 2026</w:t>
    </w:r>
    <w:r>
      <w:rPr>
        <w:rFonts w:ascii="Calibri" w:cs="Calibri" w:eastAsia="Calibri" w:hAnsi="Calibri"/>
        <w:color w:val="4A4A4A"/>
        <w:sz w:val="16"/>
        <w:szCs w:val="16"/>
      </w:rPr>
      <w:t xml:space="preserve">	</w:t>
    </w:r>
    <w:r>
      <w:rPr>
        <w:rFonts w:ascii="Calibri" w:cs="Calibri" w:eastAsia="Calibri" w:hAnsi="Calibri"/>
        <w:color w:val="4A4A4A"/>
        <w:sz w:val="16"/>
        <w:szCs w:val="16"/>
      </w:rPr>
      <w:t xml:space="preserve">Page </w:t>
    </w:r>
    <w:r>
      <w:rPr>
        <w:rFonts w:ascii="Calibri" w:cs="Calibri" w:eastAsia="Calibri" w:hAnsi="Calibri"/>
        <w:color w:val="4A4A4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D6E6E" w:sz="4" w:space="4"/>
      </w:pBdr>
      <w:spacing w:after="120"/>
    </w:pPr>
    <w:r>
      <w:rPr>
        <w:rFonts w:ascii="Calibri" w:cs="Calibri" w:eastAsia="Calibri" w:hAnsi="Calibri"/>
        <w:i/>
        <w:iCs/>
        <w:color w:val="4A4A4A"/>
        <w:sz w:val="18"/>
        <w:szCs w:val="18"/>
      </w:rPr>
      <w:t xml:space="preserve">AI-blement of the Enterprise  </w:t>
    </w:r>
    <w:r>
      <w:rPr>
        <w:rFonts w:ascii="Calibri" w:cs="Calibri" w:eastAsia="Calibri" w:hAnsi="Calibri"/>
        <w:color w:val="0D6E6E"/>
        <w:sz w:val="18"/>
        <w:szCs w:val="18"/>
      </w:rPr>
      <w:t xml:space="preserve"> •  Enterprise AI Enablement Framework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0"/>
      <w:outlineLvl w:val="0"/>
    </w:pPr>
    <w:rPr>
      <w:rFonts w:ascii="Calibri" w:cs="Calibri" w:eastAsia="Calibri" w:hAnsi="Calibri"/>
      <w:b/>
      <w:bCs/>
      <w:color w:val="FFFFFF"/>
      <w:sz w:val="36"/>
      <w:szCs w:val="36"/>
    </w:rPr>
  </w:style>
  <w:style w:type="paragraph" w:styleId="Heading2">
    <w:name w:val="Heading 2"/>
    <w:basedOn w:val="Normal"/>
    <w:next w:val="Normal"/>
    <w:qFormat/>
    <w:pPr>
      <w:spacing w:after="120" w:before="320"/>
      <w:outlineLvl w:val="1"/>
    </w:pPr>
    <w:rPr>
      <w:rFonts w:ascii="Calibri" w:cs="Calibri" w:eastAsia="Calibri" w:hAnsi="Calibri"/>
      <w:b/>
      <w:bCs/>
      <w:color w:val="0D6E6E"/>
      <w:sz w:val="28"/>
      <w:szCs w:val="28"/>
    </w:rPr>
  </w:style>
  <w:style w:type="paragraph" w:styleId="Heading3">
    <w:name w:val="Heading 3"/>
    <w:basedOn w:val="Normal"/>
    <w:next w:val="Normal"/>
    <w:qFormat/>
    <w:pPr>
      <w:spacing w:after="80" w:before="240"/>
      <w:outlineLvl w:val="2"/>
    </w:pPr>
    <w:rPr>
      <w:rFonts w:ascii="Calibri" w:cs="Calibri" w:eastAsia="Calibri" w:hAnsi="Calibri"/>
      <w:b/>
      <w:bCs/>
      <w:color w:val="2C5F8A"/>
      <w:sz w:val="24"/>
      <w:szCs w:val="24"/>
    </w:rPr>
  </w:style>
  <w:style w:type="paragraph" w:styleId="Heading4">
    <w:name w:val="Heading 4"/>
    <w:basedOn w:val="Normal"/>
    <w:next w:val="Normal"/>
    <w:qFormat/>
    <w:pPr>
      <w:spacing w:after="60" w:before="160"/>
      <w:outlineLvl w:val="3"/>
    </w:pPr>
    <w:rPr>
      <w:rFonts w:ascii="Calibri" w:cs="Calibri" w:eastAsia="Calibri" w:hAnsi="Calibri"/>
      <w:b/>
      <w:bCs/>
      <w:i/>
      <w:iCs/>
      <w:color w:val="1B2A4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2026-03-15T20:49:21.323Z</dcterms:created>
  <dcterms:modified xsi:type="dcterms:W3CDTF">2026-03-15T20:49:21.324Z</dcterms:modified>
</cp:coreProperties>
</file>

<file path=docProps/custom.xml><?xml version="1.0" encoding="utf-8"?>
<Properties xmlns="http://schemas.openxmlformats.org/officeDocument/2006/custom-properties" xmlns:vt="http://schemas.openxmlformats.org/officeDocument/2006/docPropsVTypes"/>
</file>