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IQR — Intelligent Quality Review</w:t>
      </w:r>
    </w:p>
    <w:p>
      <w:pPr>
        <w:spacing w:after="110"/>
      </w:pPr>
      <w:r>
        <w:rPr>
          <w:b/>
          <w:bCs/>
          <w:color w:val="0096D6"/>
        </w:rPr>
        <w:t xml:space="preserve">Design Document · v4 · Cloud-Native Agentic Architecture on Azure AI Foundry</w:t>
      </w:r>
    </w:p>
    <w:p>
      <w:pPr>
        <w:pStyle w:val="Subtle"/>
      </w:pPr>
      <w:r>
        <w:t xml:space="preserve">An agentic AI platform that validates internal-control evidence packages end to end and emits a cited, audit-ready pack. Agents reason; deterministic tools compute; a frozen, expert-approved plan governs every run; humans hold both gates. Organization-agnostic: applies to any controls program (SOX 404 or equivalent).</w:t>
      </w:r>
    </w:p>
    <w:p>
      <w:pPr>
        <w:spacing w:after="200"/>
      </w:pP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The three laws</w:t>
      </w:r>
    </w:p>
    <w:p>
      <w:pPr>
        <w:spacing w:after="110"/>
      </w:pPr>
      <w:r>
        <w:t xml:space="preserve">Every design decision descends from three laws. When a choice conflicts with one, the choice loses.</w:t>
      </w:r>
    </w:p>
    <w:p>
      <w:pPr>
        <w:pBdr>
          <w:left w:val="single" w:color="0096D6" w:sz="24"/>
        </w:pBdr>
        <w:shd w:fill="E6F4FA" w:val="clear"/>
        <w:spacing w:after="120"/>
        <w:ind w:left="200" w:right="200"/>
      </w:pPr>
      <w:r>
        <w:rPr>
          <w:b/>
          <w:bCs/>
        </w:rPr>
        <w:t xml:space="preserve">1 · Numbers are computed by deterministic code, never by a model. A test fails if a model is invoked on any numeric path.</w:t>
      </w:r>
    </w:p>
    <w:p>
      <w:pPr>
        <w:pBdr>
          <w:left w:val="single" w:color="0096D6" w:sz="24"/>
        </w:pBdr>
        <w:shd w:fill="E6F4FA" w:val="clear"/>
        <w:spacing w:after="120"/>
        <w:ind w:left="200" w:right="200"/>
      </w:pPr>
      <w:r>
        <w:rPr>
          <w:b/>
          <w:bCs/>
        </w:rPr>
        <w:t xml:space="preserve">2 · Every claim carries a resolvable evidence locator. The citation gate mechanically rejects anything else — 100% citation validity is a hard release gate.</w:t>
      </w:r>
    </w:p>
    <w:p>
      <w:pPr>
        <w:pBdr>
          <w:left w:val="single" w:color="0096D6" w:sz="24"/>
        </w:pBdr>
        <w:shd w:fill="E6F4FA" w:val="clear"/>
        <w:spacing w:after="120"/>
        <w:ind w:left="200" w:right="200"/>
      </w:pPr>
      <w:r>
        <w:rPr>
          <w:b/>
          <w:bCs/>
        </w:rPr>
        <w:t xml:space="preserve">3 · Same input produces the same verdict. Same package + same plan version yields an identical verdict and evidence set, replayable from the ledger.</w:t>
      </w:r>
    </w:p>
    <w:p>
      <w:pPr>
        <w:pStyle w:val="Heading1"/>
      </w:pPr>
      <w:r>
        <w:t xml:space="preserve">2. What it validates</w:t>
      </w:r>
    </w:p>
    <w:p>
      <w:pPr>
        <w:spacing w:after="110"/>
      </w:pPr>
      <w:r>
        <w:t xml:space="preserve">Input — the evidence package: a nested tree three to six levels deep: a control process document (.docx), workbooks (.xlsx/.xlsm/.xlsb), approval emails (.msg/.eml) whose attachments hold ZIPs with further workbooks and reviewer checklists, screenshots inside workbook tabs and documents, workbooks embedded as OLE objects (observed at 184 MB), and document-management links standing in for files.</w:t>
      </w:r>
    </w:p>
    <w:p>
      <w:pPr>
        <w:spacing w:after="110"/>
      </w:pPr>
      <w:r>
        <w:t xml:space="preserve">Output — the audit-ready pack: a verdict per check (pass / pass-with-gaps / fail), the auto-completed reviewer checklist, an artifact manifest with the hash of every leaf, an explicit gaps-and-observations register, and a citation for every claim — down to the exact cell, email line, or screenshot region.</w:t>
      </w:r>
    </w:p>
    <w:p>
      <w:pPr>
        <w:pStyle w:val="Heading2"/>
      </w:pPr>
      <w:r>
        <w:t xml:space="preserve">The four check modalities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340"/>
      </w:tblGrid>
      <w:tr>
        <w:tc>
          <w:tcPr>
            <w:tcW w:type="dxa" w:w="1700"/>
            <w:shd w:fill="F0F6FA" w:val="clear"/>
            <w:tcMar>
              <w:top w:type="dxa" w:w="60"/>
              <w:left w:type="dxa" w:w="100"/>
              <w:bottom w:type="dxa" w:w="60"/>
              <w:right w:type="dxa" w:w="100"/>
            </w:tcMar>
          </w:tcPr>
          <w:p>
            <w:r>
              <w:rPr>
                <w:b/>
                <w:bCs/>
                <w:color w:val="00699B"/>
                <w:sz w:val="18"/>
                <w:szCs w:val="18"/>
              </w:rPr>
              <w:t xml:space="preserve">Modality</w:t>
            </w:r>
          </w:p>
        </w:tc>
        <w:tc>
          <w:tcPr>
            <w:tcW w:type="dxa" w:w="3600"/>
            <w:shd w:fill="F0F6FA" w:val="clear"/>
            <w:tcMar>
              <w:top w:type="dxa" w:w="60"/>
              <w:left w:type="dxa" w:w="100"/>
              <w:bottom w:type="dxa" w:w="60"/>
              <w:right w:type="dxa" w:w="100"/>
            </w:tcMar>
          </w:tcPr>
          <w:p>
            <w:r>
              <w:rPr>
                <w:b/>
                <w:bCs/>
                <w:color w:val="00699B"/>
                <w:sz w:val="18"/>
                <w:szCs w:val="18"/>
              </w:rPr>
              <w:t xml:space="preserve">What it asserts</w:t>
            </w:r>
          </w:p>
        </w:tc>
        <w:tc>
          <w:tcPr>
            <w:tcW w:type="dxa" w:w="4340"/>
            <w:shd w:fill="F0F6FA" w:val="clear"/>
            <w:tcMar>
              <w:top w:type="dxa" w:w="60"/>
              <w:left w:type="dxa" w:w="100"/>
              <w:bottom w:type="dxa" w:w="60"/>
              <w:right w:type="dxa" w:w="100"/>
            </w:tcMar>
          </w:tcPr>
          <w:p>
            <w:r>
              <w:rPr>
                <w:b/>
                <w:bCs/>
                <w:color w:val="00699B"/>
                <w:sz w:val="18"/>
                <w:szCs w:val="18"/>
              </w:rPr>
              <w:t xml:space="preserve">Example from the validated corpus</w:t>
            </w:r>
          </w:p>
        </w:tc>
      </w:tr>
      <w:tr>
        <w:tc>
          <w:tcPr>
            <w:tcW w:type="dxa" w:w="1700"/>
            <w:tcMar>
              <w:top w:type="dxa" w:w="60"/>
              <w:left w:type="dxa" w:w="100"/>
              <w:bottom w:type="dxa" w:w="60"/>
              <w:right w:type="dxa" w:w="100"/>
            </w:tcMar>
          </w:tcPr>
          <w:p>
            <w:r>
              <w:rPr>
                <w:b w:val="false"/>
                <w:bCs w:val="false"/>
                <w:color w:val="101820"/>
                <w:sz w:val="18"/>
                <w:szCs w:val="18"/>
              </w:rPr>
              <w:t xml:space="preserve">Numeric recompute</w:t>
            </w:r>
          </w:p>
        </w:tc>
        <w:tc>
          <w:tcPr>
            <w:tcW w:type="dxa" w:w="3600"/>
            <w:tcMar>
              <w:top w:type="dxa" w:w="60"/>
              <w:left w:type="dxa" w:w="100"/>
              <w:bottom w:type="dxa" w:w="60"/>
              <w:right w:type="dxa" w:w="100"/>
            </w:tcMar>
          </w:tcPr>
          <w:p>
            <w:r>
              <w:rPr>
                <w:b w:val="false"/>
                <w:bCs w:val="false"/>
                <w:color w:val="101820"/>
                <w:sz w:val="18"/>
                <w:szCs w:val="18"/>
              </w:rPr>
              <w:t xml:space="preserve">Totals/deltas/products re-derived from cells vs a tolerance</w:t>
            </w:r>
          </w:p>
        </w:tc>
        <w:tc>
          <w:tcPr>
            <w:tcW w:type="dxa" w:w="4340"/>
            <w:tcMar>
              <w:top w:type="dxa" w:w="60"/>
              <w:left w:type="dxa" w:w="100"/>
              <w:bottom w:type="dxa" w:w="60"/>
              <w:right w:type="dxa" w:w="100"/>
            </w:tcMar>
          </w:tcPr>
          <w:p>
            <w:r>
              <w:rPr>
                <w:b w:val="false"/>
                <w:bCs w:val="false"/>
                <w:color w:val="101820"/>
                <w:sz w:val="18"/>
                <w:szCs w:val="18"/>
              </w:rPr>
              <w:t xml:space="preserve">TB deltas net to zero (~1e-06 floating-point residue; tolerance-based, never ==0)</w:t>
            </w:r>
          </w:p>
        </w:tc>
      </w:tr>
      <w:tr>
        <w:tc>
          <w:tcPr>
            <w:tcW w:type="dxa" w:w="1700"/>
            <w:tcMar>
              <w:top w:type="dxa" w:w="60"/>
              <w:left w:type="dxa" w:w="100"/>
              <w:bottom w:type="dxa" w:w="60"/>
              <w:right w:type="dxa" w:w="100"/>
            </w:tcMar>
          </w:tcPr>
          <w:p>
            <w:r>
              <w:rPr>
                <w:b w:val="false"/>
                <w:bCs w:val="false"/>
                <w:color w:val="101820"/>
                <w:sz w:val="18"/>
                <w:szCs w:val="18"/>
              </w:rPr>
              <w:t xml:space="preserve">Temporal ordering</w:t>
            </w:r>
          </w:p>
        </w:tc>
        <w:tc>
          <w:tcPr>
            <w:tcW w:type="dxa" w:w="3600"/>
            <w:tcMar>
              <w:top w:type="dxa" w:w="60"/>
              <w:left w:type="dxa" w:w="100"/>
              <w:bottom w:type="dxa" w:w="60"/>
              <w:right w:type="dxa" w:w="100"/>
            </w:tcMar>
          </w:tcPr>
          <w:p>
            <w:r>
              <w:rPr>
                <w:b w:val="false"/>
                <w:bCs w:val="false"/>
                <w:color w:val="101820"/>
                <w:sz w:val="18"/>
                <w:szCs w:val="18"/>
              </w:rPr>
              <w:t xml:space="preserve">Timestamps normalized across timezones, then ordered</w:t>
            </w:r>
          </w:p>
        </w:tc>
        <w:tc>
          <w:tcPr>
            <w:tcW w:type="dxa" w:w="4340"/>
            <w:tcMar>
              <w:top w:type="dxa" w:w="60"/>
              <w:left w:type="dxa" w:w="100"/>
              <w:bottom w:type="dxa" w:w="60"/>
              <w:right w:type="dxa" w:w="100"/>
            </w:tcMar>
          </w:tcPr>
          <w:p>
            <w:r>
              <w:rPr>
                <w:b w:val="false"/>
                <w:bCs w:val="false"/>
                <w:color w:val="101820"/>
                <w:sz w:val="18"/>
                <w:szCs w:val="18"/>
              </w:rPr>
              <w:t xml:space="preserve">Certified run (in-cell GMT stamp) precedes approval (CDT email header); the plan pins the anchor stamp</w:t>
            </w:r>
          </w:p>
        </w:tc>
      </w:tr>
      <w:tr>
        <w:tc>
          <w:tcPr>
            <w:tcW w:type="dxa" w:w="1700"/>
            <w:tcMar>
              <w:top w:type="dxa" w:w="60"/>
              <w:left w:type="dxa" w:w="100"/>
              <w:bottom w:type="dxa" w:w="60"/>
              <w:right w:type="dxa" w:w="100"/>
            </w:tcMar>
          </w:tcPr>
          <w:p>
            <w:r>
              <w:rPr>
                <w:b w:val="false"/>
                <w:bCs w:val="false"/>
                <w:color w:val="101820"/>
                <w:sz w:val="18"/>
                <w:szCs w:val="18"/>
              </w:rPr>
              <w:t xml:space="preserve">Vision tie-out</w:t>
            </w:r>
          </w:p>
        </w:tc>
        <w:tc>
          <w:tcPr>
            <w:tcW w:type="dxa" w:w="3600"/>
            <w:tcMar>
              <w:top w:type="dxa" w:w="60"/>
              <w:left w:type="dxa" w:w="100"/>
              <w:bottom w:type="dxa" w:w="60"/>
              <w:right w:type="dxa" w:w="100"/>
            </w:tcMar>
          </w:tcPr>
          <w:p>
            <w:r>
              <w:rPr>
                <w:b w:val="false"/>
                <w:bCs w:val="false"/>
                <w:color w:val="101820"/>
                <w:sz w:val="18"/>
                <w:szCs w:val="18"/>
              </w:rPr>
              <w:t xml:space="preserve">Screenshot provenance; labeled values tie to cells</w:t>
            </w:r>
          </w:p>
        </w:tc>
        <w:tc>
          <w:tcPr>
            <w:tcW w:type="dxa" w:w="4340"/>
            <w:tcMar>
              <w:top w:type="dxa" w:w="60"/>
              <w:left w:type="dxa" w:w="100"/>
              <w:bottom w:type="dxa" w:w="60"/>
              <w:right w:type="dxa" w:w="100"/>
            </w:tcMar>
          </w:tcPr>
          <w:p>
            <w:r>
              <w:rPr>
                <w:b w:val="false"/>
                <w:bCs w:val="false"/>
                <w:color w:val="101820"/>
                <w:sz w:val="18"/>
                <w:szCs w:val="18"/>
              </w:rPr>
              <w:t xml:space="preserve">BI-portal screenshots prove the certified source; numeric ties come from cells, never OCR digits</w:t>
            </w:r>
          </w:p>
        </w:tc>
      </w:tr>
      <w:tr>
        <w:tc>
          <w:tcPr>
            <w:tcW w:type="dxa" w:w="1700"/>
            <w:tcMar>
              <w:top w:type="dxa" w:w="60"/>
              <w:left w:type="dxa" w:w="100"/>
              <w:bottom w:type="dxa" w:w="60"/>
              <w:right w:type="dxa" w:w="100"/>
            </w:tcMar>
          </w:tcPr>
          <w:p>
            <w:r>
              <w:rPr>
                <w:b w:val="false"/>
                <w:bCs w:val="false"/>
                <w:color w:val="101820"/>
                <w:sz w:val="18"/>
                <w:szCs w:val="18"/>
              </w:rPr>
              <w:t xml:space="preserve">Sign-off / SoD</w:t>
            </w:r>
          </w:p>
        </w:tc>
        <w:tc>
          <w:tcPr>
            <w:tcW w:type="dxa" w:w="3600"/>
            <w:tcMar>
              <w:top w:type="dxa" w:w="60"/>
              <w:left w:type="dxa" w:w="100"/>
              <w:bottom w:type="dxa" w:w="60"/>
              <w:right w:type="dxa" w:w="100"/>
            </w:tcMar>
          </w:tcPr>
          <w:p>
            <w:r>
              <w:rPr>
                <w:b w:val="false"/>
                <w:bCs w:val="false"/>
                <w:color w:val="101820"/>
                <w:sz w:val="18"/>
                <w:szCs w:val="18"/>
              </w:rPr>
              <w:t xml:space="preserve">Approval language; approver ≠ preparer; correct ordering</w:t>
            </w:r>
          </w:p>
        </w:tc>
        <w:tc>
          <w:tcPr>
            <w:tcW w:type="dxa" w:w="4340"/>
            <w:tcMar>
              <w:top w:type="dxa" w:w="60"/>
              <w:left w:type="dxa" w:w="100"/>
              <w:bottom w:type="dxa" w:w="60"/>
              <w:right w:type="dxa" w:w="100"/>
            </w:tcMar>
          </w:tcPr>
          <w:p>
            <w:r>
              <w:rPr>
                <w:b w:val="false"/>
                <w:bCs w:val="false"/>
                <w:color w:val="101820"/>
                <w:sz w:val="18"/>
                <w:szCs w:val="18"/>
              </w:rPr>
              <w:t xml:space="preserve">Six-email chain parsed with line citations, incl. an exception disclosure</w:t>
            </w:r>
          </w:p>
        </w:tc>
      </w:tr>
    </w:tbl>
    <w:p>
      <w:pPr>
        <w:pStyle w:val="Heading1"/>
      </w:pPr>
      <w:r>
        <w:t xml:space="preserve">3. The layers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440"/>
      </w:tblGrid>
      <w:tr>
        <w:tc>
          <w:tcPr>
            <w:tcW w:type="dxa" w:w="2100"/>
            <w:shd w:fill="F0F6FA" w:val="clear"/>
            <w:tcMar>
              <w:top w:type="dxa" w:w="60"/>
              <w:left w:type="dxa" w:w="100"/>
              <w:bottom w:type="dxa" w:w="60"/>
              <w:right w:type="dxa" w:w="100"/>
            </w:tcMar>
          </w:tcPr>
          <w:p>
            <w:r>
              <w:rPr>
                <w:b/>
                <w:bCs/>
                <w:color w:val="00699B"/>
                <w:sz w:val="18"/>
                <w:szCs w:val="18"/>
              </w:rPr>
              <w:t xml:space="preserve">Layer</w:t>
            </w:r>
          </w:p>
        </w:tc>
        <w:tc>
          <w:tcPr>
            <w:tcW w:type="dxa" w:w="4100"/>
            <w:shd w:fill="F0F6FA" w:val="clear"/>
            <w:tcMar>
              <w:top w:type="dxa" w:w="60"/>
              <w:left w:type="dxa" w:w="100"/>
              <w:bottom w:type="dxa" w:w="60"/>
              <w:right w:type="dxa" w:w="100"/>
            </w:tcMar>
          </w:tcPr>
          <w:p>
            <w:r>
              <w:rPr>
                <w:b/>
                <w:bCs/>
                <w:color w:val="00699B"/>
                <w:sz w:val="18"/>
                <w:szCs w:val="18"/>
              </w:rPr>
              <w:t xml:space="preserve">Responsibility</w:t>
            </w:r>
          </w:p>
        </w:tc>
        <w:tc>
          <w:tcPr>
            <w:tcW w:type="dxa" w:w="3440"/>
            <w:shd w:fill="F0F6FA" w:val="clear"/>
            <w:tcMar>
              <w:top w:type="dxa" w:w="60"/>
              <w:left w:type="dxa" w:w="100"/>
              <w:bottom w:type="dxa" w:w="60"/>
              <w:right w:type="dxa" w:w="100"/>
            </w:tcMar>
          </w:tcPr>
          <w:p>
            <w:r>
              <w:rPr>
                <w:b/>
                <w:bCs/>
                <w:color w:val="00699B"/>
                <w:sz w:val="18"/>
                <w:szCs w:val="18"/>
              </w:rPr>
              <w:t xml:space="preserve">Key property</w:t>
            </w:r>
          </w:p>
        </w:tc>
      </w:tr>
      <w:tr>
        <w:tc>
          <w:tcPr>
            <w:tcW w:type="dxa" w:w="2100"/>
            <w:tcMar>
              <w:top w:type="dxa" w:w="60"/>
              <w:left w:type="dxa" w:w="100"/>
              <w:bottom w:type="dxa" w:w="60"/>
              <w:right w:type="dxa" w:w="100"/>
            </w:tcMar>
          </w:tcPr>
          <w:p>
            <w:r>
              <w:rPr>
                <w:b w:val="false"/>
                <w:bCs w:val="false"/>
                <w:color w:val="101820"/>
                <w:sz w:val="18"/>
                <w:szCs w:val="18"/>
              </w:rPr>
              <w:t xml:space="preserve">Document intelligence</w:t>
            </w:r>
          </w:p>
        </w:tc>
        <w:tc>
          <w:tcPr>
            <w:tcW w:type="dxa" w:w="4100"/>
            <w:tcMar>
              <w:top w:type="dxa" w:w="60"/>
              <w:left w:type="dxa" w:w="100"/>
              <w:bottom w:type="dxa" w:w="60"/>
              <w:right w:type="dxa" w:w="100"/>
            </w:tcMar>
          </w:tcPr>
          <w:p>
            <w:r>
              <w:rPr>
                <w:b w:val="false"/>
                <w:bCs w:val="false"/>
                <w:color w:val="101820"/>
                <w:sz w:val="18"/>
                <w:szCs w:val="18"/>
              </w:rPr>
              <w:t xml:space="preserve">Unpack the tree; extract every cell/paragraph/email line/image; SHA-256 every leaf; build the Evidence Graph</w:t>
            </w:r>
          </w:p>
        </w:tc>
        <w:tc>
          <w:tcPr>
            <w:tcW w:type="dxa" w:w="3440"/>
            <w:tcMar>
              <w:top w:type="dxa" w:w="60"/>
              <w:left w:type="dxa" w:w="100"/>
              <w:bottom w:type="dxa" w:w="60"/>
              <w:right w:type="dxa" w:w="100"/>
            </w:tcMar>
          </w:tcPr>
          <w:p>
            <w:r>
              <w:rPr>
                <w:b w:val="false"/>
                <w:bCs w:val="false"/>
                <w:color w:val="101820"/>
                <w:sz w:val="18"/>
                <w:szCs w:val="18"/>
              </w:rPr>
              <w:t xml:space="preserve">Pure code, zero model calls; every failure recorded, nothing silently skipped</w:t>
            </w:r>
          </w:p>
        </w:tc>
      </w:tr>
      <w:tr>
        <w:tc>
          <w:tcPr>
            <w:tcW w:type="dxa" w:w="2100"/>
            <w:tcMar>
              <w:top w:type="dxa" w:w="60"/>
              <w:left w:type="dxa" w:w="100"/>
              <w:bottom w:type="dxa" w:w="60"/>
              <w:right w:type="dxa" w:w="100"/>
            </w:tcMar>
          </w:tcPr>
          <w:p>
            <w:r>
              <w:rPr>
                <w:b w:val="false"/>
                <w:bCs w:val="false"/>
                <w:color w:val="101820"/>
                <w:sz w:val="18"/>
                <w:szCs w:val="18"/>
              </w:rPr>
              <w:t xml:space="preserve">Knowledge (Foundry IQ)</w:t>
            </w:r>
          </w:p>
        </w:tc>
        <w:tc>
          <w:tcPr>
            <w:tcW w:type="dxa" w:w="4100"/>
            <w:tcMar>
              <w:top w:type="dxa" w:w="60"/>
              <w:left w:type="dxa" w:w="100"/>
              <w:bottom w:type="dxa" w:w="60"/>
              <w:right w:type="dxa" w:w="100"/>
            </w:tcMar>
          </w:tcPr>
          <w:p>
            <w:r>
              <w:rPr>
                <w:b w:val="false"/>
                <w:bCs w:val="false"/>
                <w:color w:val="101820"/>
                <w:sz w:val="18"/>
                <w:szCs w:val="18"/>
              </w:rPr>
              <w:t xml:space="preserve">Control KB + Golden Library, retrieval-indexed on Azure AI Search</w:t>
            </w:r>
          </w:p>
        </w:tc>
        <w:tc>
          <w:tcPr>
            <w:tcW w:type="dxa" w:w="3440"/>
            <w:tcMar>
              <w:top w:type="dxa" w:w="60"/>
              <w:left w:type="dxa" w:w="100"/>
              <w:bottom w:type="dxa" w:w="60"/>
              <w:right w:type="dxa" w:w="100"/>
            </w:tcMar>
          </w:tcPr>
          <w:p>
            <w:r>
              <w:rPr>
                <w:b w:val="false"/>
                <w:bCs w:val="false"/>
                <w:color w:val="101820"/>
                <w:sz w:val="18"/>
                <w:szCs w:val="18"/>
              </w:rPr>
              <w:t xml:space="preserve">Versioned; retrieval-anchored grounding — agents never free-associate</w:t>
            </w:r>
          </w:p>
        </w:tc>
      </w:tr>
      <w:tr>
        <w:tc>
          <w:tcPr>
            <w:tcW w:type="dxa" w:w="2100"/>
            <w:tcMar>
              <w:top w:type="dxa" w:w="60"/>
              <w:left w:type="dxa" w:w="100"/>
              <w:bottom w:type="dxa" w:w="60"/>
              <w:right w:type="dxa" w:w="100"/>
            </w:tcMar>
          </w:tcPr>
          <w:p>
            <w:r>
              <w:rPr>
                <w:b w:val="false"/>
                <w:bCs w:val="false"/>
                <w:color w:val="101820"/>
                <w:sz w:val="18"/>
                <w:szCs w:val="18"/>
              </w:rPr>
              <w:t xml:space="preserve">Reasoning</w:t>
            </w:r>
          </w:p>
        </w:tc>
        <w:tc>
          <w:tcPr>
            <w:tcW w:type="dxa" w:w="4100"/>
            <w:tcMar>
              <w:top w:type="dxa" w:w="60"/>
              <w:left w:type="dxa" w:w="100"/>
              <w:bottom w:type="dxa" w:w="60"/>
              <w:right w:type="dxa" w:w="100"/>
            </w:tcMar>
          </w:tcPr>
          <w:p>
            <w:r>
              <w:rPr>
                <w:b w:val="false"/>
                <w:bCs w:val="false"/>
                <w:color w:val="101820"/>
                <w:sz w:val="18"/>
                <w:szCs w:val="18"/>
              </w:rPr>
              <w:t xml:space="preserve">Scoped agents: intake, checks, blinded verification, plan compilation</w:t>
            </w:r>
          </w:p>
        </w:tc>
        <w:tc>
          <w:tcPr>
            <w:tcW w:type="dxa" w:w="3440"/>
            <w:tcMar>
              <w:top w:type="dxa" w:w="60"/>
              <w:left w:type="dxa" w:w="100"/>
              <w:bottom w:type="dxa" w:w="60"/>
              <w:right w:type="dxa" w:w="100"/>
            </w:tcMar>
          </w:tcPr>
          <w:p>
            <w:r>
              <w:rPr>
                <w:b w:val="false"/>
                <w:bCs w:val="false"/>
                <w:color w:val="101820"/>
                <w:sz w:val="18"/>
                <w:szCs w:val="18"/>
              </w:rPr>
              <w:t xml:space="preserve">Each agent sees only its inputs, calls only its listed tools; every step in the ledger</w:t>
            </w:r>
          </w:p>
        </w:tc>
      </w:tr>
      <w:tr>
        <w:tc>
          <w:tcPr>
            <w:tcW w:type="dxa" w:w="2100"/>
            <w:tcMar>
              <w:top w:type="dxa" w:w="60"/>
              <w:left w:type="dxa" w:w="100"/>
              <w:bottom w:type="dxa" w:w="60"/>
              <w:right w:type="dxa" w:w="100"/>
            </w:tcMar>
          </w:tcPr>
          <w:p>
            <w:r>
              <w:rPr>
                <w:b w:val="false"/>
                <w:bCs w:val="false"/>
                <w:color w:val="101820"/>
                <w:sz w:val="18"/>
                <w:szCs w:val="18"/>
              </w:rPr>
              <w:t xml:space="preserve">Action (tools)</w:t>
            </w:r>
          </w:p>
        </w:tc>
        <w:tc>
          <w:tcPr>
            <w:tcW w:type="dxa" w:w="4100"/>
            <w:tcMar>
              <w:top w:type="dxa" w:w="60"/>
              <w:left w:type="dxa" w:w="100"/>
              <w:bottom w:type="dxa" w:w="60"/>
              <w:right w:type="dxa" w:w="100"/>
            </w:tcMar>
          </w:tcPr>
          <w:p>
            <w:r>
              <w:rPr>
                <w:b w:val="false"/>
                <w:bCs w:val="false"/>
                <w:color w:val="101820"/>
                <w:sz w:val="18"/>
                <w:szCs w:val="18"/>
              </w:rPr>
              <w:t xml:space="preserve">Deterministic extraction and computation returning value + citation</w:t>
            </w:r>
          </w:p>
        </w:tc>
        <w:tc>
          <w:tcPr>
            <w:tcW w:type="dxa" w:w="3440"/>
            <w:tcMar>
              <w:top w:type="dxa" w:w="60"/>
              <w:left w:type="dxa" w:w="100"/>
              <w:bottom w:type="dxa" w:w="60"/>
              <w:right w:type="dxa" w:w="100"/>
            </w:tcMar>
          </w:tcPr>
          <w:p>
            <w:r>
              <w:rPr>
                <w:b w:val="false"/>
                <w:bCs w:val="false"/>
                <w:color w:val="101820"/>
                <w:sz w:val="18"/>
                <w:szCs w:val="18"/>
              </w:rPr>
              <w:t xml:space="preserve">The only source of facts an agent may state</w:t>
            </w:r>
          </w:p>
        </w:tc>
      </w:tr>
      <w:tr>
        <w:tc>
          <w:tcPr>
            <w:tcW w:type="dxa" w:w="2100"/>
            <w:tcMar>
              <w:top w:type="dxa" w:w="60"/>
              <w:left w:type="dxa" w:w="100"/>
              <w:bottom w:type="dxa" w:w="60"/>
              <w:right w:type="dxa" w:w="100"/>
            </w:tcMar>
          </w:tcPr>
          <w:p>
            <w:r>
              <w:rPr>
                <w:b w:val="false"/>
                <w:bCs w:val="false"/>
                <w:color w:val="101820"/>
                <w:sz w:val="18"/>
                <w:szCs w:val="18"/>
              </w:rPr>
              <w:t xml:space="preserve">Governance</w:t>
            </w:r>
          </w:p>
        </w:tc>
        <w:tc>
          <w:tcPr>
            <w:tcW w:type="dxa" w:w="4100"/>
            <w:tcMar>
              <w:top w:type="dxa" w:w="60"/>
              <w:left w:type="dxa" w:w="100"/>
              <w:bottom w:type="dxa" w:w="60"/>
              <w:right w:type="dxa" w:w="100"/>
            </w:tcMar>
          </w:tcPr>
          <w:p>
            <w:r>
              <w:rPr>
                <w:b w:val="false"/>
                <w:bCs w:val="false"/>
                <w:color w:val="101820"/>
                <w:sz w:val="18"/>
                <w:szCs w:val="18"/>
              </w:rPr>
              <w:t xml:space="preserve">Frozen plans, citation gate, run ledger, eval harness, HITL queue, governed learning</w:t>
            </w:r>
          </w:p>
        </w:tc>
        <w:tc>
          <w:tcPr>
            <w:tcW w:type="dxa" w:w="3440"/>
            <w:tcMar>
              <w:top w:type="dxa" w:w="60"/>
              <w:left w:type="dxa" w:w="100"/>
              <w:bottom w:type="dxa" w:w="60"/>
              <w:right w:type="dxa" w:w="100"/>
            </w:tcMar>
          </w:tcPr>
          <w:p>
            <w:r>
              <w:rPr>
                <w:b w:val="false"/>
                <w:bCs w:val="false"/>
                <w:color w:val="101820"/>
                <w:sz w:val="18"/>
                <w:szCs w:val="18"/>
              </w:rPr>
              <w:t xml:space="preserve">Humans own both gates; nothing learns silently</w:t>
            </w:r>
          </w:p>
        </w:tc>
      </w:tr>
    </w:tbl>
    <w:p>
      <w:pPr>
        <w:pStyle w:val="Heading1"/>
      </w:pPr>
      <w:r>
        <w:t xml:space="preserve">4. Intake first — start from the evidence, not a dropdown</w:t>
      </w:r>
    </w:p>
    <w:p>
      <w:pPr>
        <w:spacing w:after="110"/>
      </w:pPr>
      <w:r>
        <w:t xml:space="preserve">A performer bulk-uploads whatever the period produced — any mix, any nesting. Before anything runs, IQR:</w:t>
      </w:r>
    </w:p>
    <w:p>
      <w:pPr>
        <w:pStyle w:val="ListParagraph"/>
        <w:numPr>
          <w:ilvl w:val="0"/>
          <w:numId w:val="2"/>
        </w:numPr>
        <w:spacing w:after="70"/>
      </w:pPr>
      <w:r>
        <w:t xml:space="preserve">Ingests deterministically: hash, extract, address every fact (the same machinery as the run).</w:t>
      </w:r>
    </w:p>
    <w:p>
      <w:pPr>
        <w:pStyle w:val="ListParagraph"/>
        <w:numPr>
          <w:ilvl w:val="0"/>
          <w:numId w:val="2"/>
        </w:numPr>
        <w:spacing w:after="70"/>
      </w:pPr>
      <w:r>
        <w:t xml:space="preserve">Infers the control mechanically: every frozen plan version is scored by required-evidence coverage; the best-fitting version per control is ranked (packages from different periods legitimately match different versions).</w:t>
      </w:r>
    </w:p>
    <w:p>
      <w:pPr>
        <w:pStyle w:val="ListParagraph"/>
        <w:numPr>
          <w:ilvl w:val="0"/>
          <w:numId w:val="2"/>
        </w:numPr>
        <w:spacing w:after="70"/>
      </w:pPr>
      <w:r>
        <w:t xml:space="preserve">Narrates the package's story: what this appears to be, what will be validated, what is already missing — every fact from the graph and the plan; the model only phrases it.</w:t>
      </w:r>
    </w:p>
    <w:p>
      <w:pPr>
        <w:spacing w:after="110"/>
      </w:pPr>
      <w:r>
        <w:t xml:space="preserve">A human confirms the inferred control before the run. Inference ranks; people decide; the frozen plan remains the law.</w:t>
      </w:r>
    </w:p>
    <w:p>
      <w:pPr>
        <w:pStyle w:val="Heading1"/>
      </w:pPr>
      <w:r>
        <w:t xml:space="preserve">5. The run, stage by stage</w:t>
      </w:r>
    </w:p>
    <w:p>
      <w:pPr>
        <w:spacing w:after="110"/>
      </w:pPr>
      <w:r>
        <w:t xml:space="preserve">ingest → match → sentinel → check ×N (parallel) → verify → adjudicate → pack. The topology is fixed and versioned (SHA-256 signature recorded in every ledger). State flows as typed structures — the Evidence Graph travels as a graph, never re-dumped prompt text — which both maintains context across the run and enforces the verifier's blindness.</w:t>
      </w:r>
    </w:p>
    <w:p>
      <w:pPr>
        <w:pStyle w:val="Heading1"/>
      </w:pPr>
      <w:r>
        <w:t xml:space="preserve">6. Agent roster</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900"/>
        <w:gridCol w:w="2100"/>
        <w:gridCol w:w="1640"/>
      </w:tblGrid>
      <w:tr>
        <w:tc>
          <w:tcPr>
            <w:tcW w:type="dxa" w:w="1500"/>
            <w:shd w:fill="F0F6FA" w:val="clear"/>
            <w:tcMar>
              <w:top w:type="dxa" w:w="60"/>
              <w:left w:type="dxa" w:w="100"/>
              <w:bottom w:type="dxa" w:w="60"/>
              <w:right w:type="dxa" w:w="100"/>
            </w:tcMar>
          </w:tcPr>
          <w:p>
            <w:r>
              <w:rPr>
                <w:b/>
                <w:bCs/>
                <w:color w:val="00699B"/>
                <w:sz w:val="18"/>
                <w:szCs w:val="18"/>
              </w:rPr>
              <w:t xml:space="preserve">Agent</w:t>
            </w:r>
          </w:p>
        </w:tc>
        <w:tc>
          <w:tcPr>
            <w:tcW w:type="dxa" w:w="1500"/>
            <w:shd w:fill="F0F6FA" w:val="clear"/>
            <w:tcMar>
              <w:top w:type="dxa" w:w="60"/>
              <w:left w:type="dxa" w:w="100"/>
              <w:bottom w:type="dxa" w:w="60"/>
              <w:right w:type="dxa" w:w="100"/>
            </w:tcMar>
          </w:tcPr>
          <w:p>
            <w:r>
              <w:rPr>
                <w:b/>
                <w:bCs/>
                <w:color w:val="00699B"/>
                <w:sz w:val="18"/>
                <w:szCs w:val="18"/>
              </w:rPr>
              <w:t xml:space="preserve">Invoked</w:t>
            </w:r>
          </w:p>
        </w:tc>
        <w:tc>
          <w:tcPr>
            <w:tcW w:type="dxa" w:w="2900"/>
            <w:shd w:fill="F0F6FA" w:val="clear"/>
            <w:tcMar>
              <w:top w:type="dxa" w:w="60"/>
              <w:left w:type="dxa" w:w="100"/>
              <w:bottom w:type="dxa" w:w="60"/>
              <w:right w:type="dxa" w:w="100"/>
            </w:tcMar>
          </w:tcPr>
          <w:p>
            <w:r>
              <w:rPr>
                <w:b/>
                <w:bCs/>
                <w:color w:val="00699B"/>
                <w:sz w:val="18"/>
                <w:szCs w:val="18"/>
              </w:rPr>
              <w:t xml:space="preserve">Reasons about</w:t>
            </w:r>
          </w:p>
        </w:tc>
        <w:tc>
          <w:tcPr>
            <w:tcW w:type="dxa" w:w="2100"/>
            <w:shd w:fill="F0F6FA" w:val="clear"/>
            <w:tcMar>
              <w:top w:type="dxa" w:w="60"/>
              <w:left w:type="dxa" w:w="100"/>
              <w:bottom w:type="dxa" w:w="60"/>
              <w:right w:type="dxa" w:w="100"/>
            </w:tcMar>
          </w:tcPr>
          <w:p>
            <w:r>
              <w:rPr>
                <w:b/>
                <w:bCs/>
                <w:color w:val="00699B"/>
                <w:sz w:val="18"/>
                <w:szCs w:val="18"/>
              </w:rPr>
              <w:t xml:space="preserve">Tools</w:t>
            </w:r>
          </w:p>
        </w:tc>
        <w:tc>
          <w:tcPr>
            <w:tcW w:type="dxa" w:w="1640"/>
            <w:shd w:fill="F0F6FA" w:val="clear"/>
            <w:tcMar>
              <w:top w:type="dxa" w:w="60"/>
              <w:left w:type="dxa" w:w="100"/>
              <w:bottom w:type="dxa" w:w="60"/>
              <w:right w:type="dxa" w:w="100"/>
            </w:tcMar>
          </w:tcPr>
          <w:p>
            <w:r>
              <w:rPr>
                <w:b/>
                <w:bCs/>
                <w:color w:val="00699B"/>
                <w:sz w:val="18"/>
                <w:szCs w:val="18"/>
              </w:rPr>
              <w:t xml:space="preserve">Emits</w:t>
            </w:r>
          </w:p>
        </w:tc>
      </w:tr>
      <w:tr>
        <w:tc>
          <w:tcPr>
            <w:tcW w:type="dxa" w:w="1500"/>
            <w:tcMar>
              <w:top w:type="dxa" w:w="60"/>
              <w:left w:type="dxa" w:w="100"/>
              <w:bottom w:type="dxa" w:w="60"/>
              <w:right w:type="dxa" w:w="100"/>
            </w:tcMar>
          </w:tcPr>
          <w:p>
            <w:r>
              <w:rPr>
                <w:b w:val="false"/>
                <w:bCs w:val="false"/>
                <w:color w:val="101820"/>
                <w:sz w:val="18"/>
                <w:szCs w:val="18"/>
              </w:rPr>
              <w:t xml:space="preserve">Plan Compiler</w:t>
            </w:r>
          </w:p>
        </w:tc>
        <w:tc>
          <w:tcPr>
            <w:tcW w:type="dxa" w:w="1500"/>
            <w:tcMar>
              <w:top w:type="dxa" w:w="60"/>
              <w:left w:type="dxa" w:w="100"/>
              <w:bottom w:type="dxa" w:w="60"/>
              <w:right w:type="dxa" w:w="100"/>
            </w:tcMar>
          </w:tcPr>
          <w:p>
            <w:r>
              <w:rPr>
                <w:b w:val="false"/>
                <w:bCs w:val="false"/>
                <w:color w:val="101820"/>
                <w:sz w:val="18"/>
                <w:szCs w:val="18"/>
              </w:rPr>
              <w:t xml:space="preserve">Design time, per control</w:t>
            </w:r>
          </w:p>
        </w:tc>
        <w:tc>
          <w:tcPr>
            <w:tcW w:type="dxa" w:w="2900"/>
            <w:tcMar>
              <w:top w:type="dxa" w:w="60"/>
              <w:left w:type="dxa" w:w="100"/>
              <w:bottom w:type="dxa" w:w="60"/>
              <w:right w:type="dxa" w:w="100"/>
            </w:tcMar>
          </w:tcPr>
          <w:p>
            <w:r>
              <w:rPr>
                <w:b w:val="false"/>
                <w:bCs w:val="false"/>
                <w:color w:val="101820"/>
                <w:sz w:val="18"/>
                <w:szCs w:val="18"/>
              </w:rPr>
              <w:t xml:space="preserve">What the control document requires</w:t>
            </w:r>
          </w:p>
        </w:tc>
        <w:tc>
          <w:tcPr>
            <w:tcW w:type="dxa" w:w="2100"/>
            <w:tcMar>
              <w:top w:type="dxa" w:w="60"/>
              <w:left w:type="dxa" w:w="100"/>
              <w:bottom w:type="dxa" w:w="60"/>
              <w:right w:type="dxa" w:w="100"/>
            </w:tcMar>
          </w:tcPr>
          <w:p>
            <w:r>
              <w:rPr>
                <w:b w:val="false"/>
                <w:bCs w:val="false"/>
                <w:color w:val="101820"/>
                <w:sz w:val="18"/>
                <w:szCs w:val="18"/>
              </w:rPr>
              <w:t xml:space="preserve">doc readers, KB retrieval</w:t>
            </w:r>
          </w:p>
        </w:tc>
        <w:tc>
          <w:tcPr>
            <w:tcW w:type="dxa" w:w="1640"/>
            <w:tcMar>
              <w:top w:type="dxa" w:w="60"/>
              <w:left w:type="dxa" w:w="100"/>
              <w:bottom w:type="dxa" w:w="60"/>
              <w:right w:type="dxa" w:w="100"/>
            </w:tcMar>
          </w:tcPr>
          <w:p>
            <w:r>
              <w:rPr>
                <w:b w:val="false"/>
                <w:bCs w:val="false"/>
                <w:color w:val="101820"/>
                <w:sz w:val="18"/>
                <w:szCs w:val="18"/>
              </w:rPr>
              <w:t xml:space="preserve">Draft plan → SME review</w:t>
            </w:r>
          </w:p>
        </w:tc>
      </w:tr>
      <w:tr>
        <w:tc>
          <w:tcPr>
            <w:tcW w:type="dxa" w:w="1500"/>
            <w:tcMar>
              <w:top w:type="dxa" w:w="60"/>
              <w:left w:type="dxa" w:w="100"/>
              <w:bottom w:type="dxa" w:w="60"/>
              <w:right w:type="dxa" w:w="100"/>
            </w:tcMar>
          </w:tcPr>
          <w:p>
            <w:r>
              <w:rPr>
                <w:b w:val="false"/>
                <w:bCs w:val="false"/>
                <w:color w:val="101820"/>
                <w:sz w:val="18"/>
                <w:szCs w:val="18"/>
              </w:rPr>
              <w:t xml:space="preserve">Intake</w:t>
            </w:r>
          </w:p>
        </w:tc>
        <w:tc>
          <w:tcPr>
            <w:tcW w:type="dxa" w:w="1500"/>
            <w:tcMar>
              <w:top w:type="dxa" w:w="60"/>
              <w:left w:type="dxa" w:w="100"/>
              <w:bottom w:type="dxa" w:w="60"/>
              <w:right w:type="dxa" w:w="100"/>
            </w:tcMar>
          </w:tcPr>
          <w:p>
            <w:r>
              <w:rPr>
                <w:b w:val="false"/>
                <w:bCs w:val="false"/>
                <w:color w:val="101820"/>
                <w:sz w:val="18"/>
                <w:szCs w:val="18"/>
              </w:rPr>
              <w:t xml:space="preserve">Per upload</w:t>
            </w:r>
          </w:p>
        </w:tc>
        <w:tc>
          <w:tcPr>
            <w:tcW w:type="dxa" w:w="2900"/>
            <w:tcMar>
              <w:top w:type="dxa" w:w="60"/>
              <w:left w:type="dxa" w:w="100"/>
              <w:bottom w:type="dxa" w:w="60"/>
              <w:right w:type="dxa" w:w="100"/>
            </w:tcMar>
          </w:tcPr>
          <w:p>
            <w:r>
              <w:rPr>
                <w:b w:val="false"/>
                <w:bCs w:val="false"/>
                <w:color w:val="101820"/>
                <w:sz w:val="18"/>
                <w:szCs w:val="18"/>
              </w:rPr>
              <w:t xml:space="preserve">The package's story from mechanical facts</w:t>
            </w:r>
          </w:p>
        </w:tc>
        <w:tc>
          <w:tcPr>
            <w:tcW w:type="dxa" w:w="2100"/>
            <w:tcMar>
              <w:top w:type="dxa" w:w="60"/>
              <w:left w:type="dxa" w:w="100"/>
              <w:bottom w:type="dxa" w:w="60"/>
              <w:right w:type="dxa" w:w="100"/>
            </w:tcMar>
          </w:tcPr>
          <w:p>
            <w:r>
              <w:rPr>
                <w:b w:val="false"/>
                <w:bCs w:val="false"/>
                <w:color w:val="101820"/>
                <w:sz w:val="18"/>
                <w:szCs w:val="18"/>
              </w:rPr>
              <w:t xml:space="preserve">none (facts arrive pre-computed)</w:t>
            </w:r>
          </w:p>
        </w:tc>
        <w:tc>
          <w:tcPr>
            <w:tcW w:type="dxa" w:w="1640"/>
            <w:tcMar>
              <w:top w:type="dxa" w:w="60"/>
              <w:left w:type="dxa" w:w="100"/>
              <w:bottom w:type="dxa" w:w="60"/>
              <w:right w:type="dxa" w:w="100"/>
            </w:tcMar>
          </w:tcPr>
          <w:p>
            <w:r>
              <w:rPr>
                <w:b w:val="false"/>
                <w:bCs w:val="false"/>
                <w:color w:val="101820"/>
                <w:sz w:val="18"/>
                <w:szCs w:val="18"/>
              </w:rPr>
              <w:t xml:space="preserve">Narrative + caveats</w:t>
            </w:r>
          </w:p>
        </w:tc>
      </w:tr>
      <w:tr>
        <w:tc>
          <w:tcPr>
            <w:tcW w:type="dxa" w:w="1500"/>
            <w:tcMar>
              <w:top w:type="dxa" w:w="60"/>
              <w:left w:type="dxa" w:w="100"/>
              <w:bottom w:type="dxa" w:w="60"/>
              <w:right w:type="dxa" w:w="100"/>
            </w:tcMar>
          </w:tcPr>
          <w:p>
            <w:r>
              <w:rPr>
                <w:b w:val="false"/>
                <w:bCs w:val="false"/>
                <w:color w:val="101820"/>
                <w:sz w:val="18"/>
                <w:szCs w:val="18"/>
              </w:rPr>
              <w:t xml:space="preserve">Temporal</w:t>
            </w:r>
          </w:p>
        </w:tc>
        <w:tc>
          <w:tcPr>
            <w:tcW w:type="dxa" w:w="1500"/>
            <w:tcMar>
              <w:top w:type="dxa" w:w="60"/>
              <w:left w:type="dxa" w:w="100"/>
              <w:bottom w:type="dxa" w:w="60"/>
              <w:right w:type="dxa" w:w="100"/>
            </w:tcMar>
          </w:tcPr>
          <w:p>
            <w:r>
              <w:rPr>
                <w:b w:val="false"/>
                <w:bCs w:val="false"/>
                <w:color w:val="101820"/>
                <w:sz w:val="18"/>
                <w:szCs w:val="18"/>
              </w:rPr>
              <w:t xml:space="preserve">Per temporal check</w:t>
            </w:r>
          </w:p>
        </w:tc>
        <w:tc>
          <w:tcPr>
            <w:tcW w:type="dxa" w:w="2900"/>
            <w:tcMar>
              <w:top w:type="dxa" w:w="60"/>
              <w:left w:type="dxa" w:w="100"/>
              <w:bottom w:type="dxa" w:w="60"/>
              <w:right w:type="dxa" w:w="100"/>
            </w:tcMar>
          </w:tcPr>
          <w:p>
            <w:r>
              <w:rPr>
                <w:b w:val="false"/>
                <w:bCs w:val="false"/>
                <w:color w:val="101820"/>
                <w:sz w:val="18"/>
                <w:szCs w:val="18"/>
              </w:rPr>
              <w:t xml:space="preserve">Which stamps matter; ordering is computed</w:t>
            </w:r>
          </w:p>
        </w:tc>
        <w:tc>
          <w:tcPr>
            <w:tcW w:type="dxa" w:w="2100"/>
            <w:tcMar>
              <w:top w:type="dxa" w:w="60"/>
              <w:left w:type="dxa" w:w="100"/>
              <w:bottom w:type="dxa" w:w="60"/>
              <w:right w:type="dxa" w:w="100"/>
            </w:tcMar>
          </w:tcPr>
          <w:p>
            <w:r>
              <w:rPr>
                <w:b w:val="false"/>
                <w:bCs w:val="false"/>
                <w:color w:val="101820"/>
                <w:sz w:val="18"/>
                <w:szCs w:val="18"/>
              </w:rPr>
              <w:t xml:space="preserve">cell_read, email facts, timestamp_order</w:t>
            </w:r>
          </w:p>
        </w:tc>
        <w:tc>
          <w:tcPr>
            <w:tcW w:type="dxa" w:w="1640"/>
            <w:tcMar>
              <w:top w:type="dxa" w:w="60"/>
              <w:left w:type="dxa" w:w="100"/>
              <w:bottom w:type="dxa" w:w="60"/>
              <w:right w:type="dxa" w:w="100"/>
            </w:tcMar>
          </w:tcPr>
          <w:p>
            <w:r>
              <w:rPr>
                <w:b w:val="false"/>
                <w:bCs w:val="false"/>
                <w:color w:val="101820"/>
                <w:sz w:val="18"/>
                <w:szCs w:val="18"/>
              </w:rPr>
              <w:t xml:space="preserve">Finding + citations</w:t>
            </w:r>
          </w:p>
        </w:tc>
      </w:tr>
      <w:tr>
        <w:tc>
          <w:tcPr>
            <w:tcW w:type="dxa" w:w="1500"/>
            <w:tcMar>
              <w:top w:type="dxa" w:w="60"/>
              <w:left w:type="dxa" w:w="100"/>
              <w:bottom w:type="dxa" w:w="60"/>
              <w:right w:type="dxa" w:w="100"/>
            </w:tcMar>
          </w:tcPr>
          <w:p>
            <w:r>
              <w:rPr>
                <w:b w:val="false"/>
                <w:bCs w:val="false"/>
                <w:color w:val="101820"/>
                <w:sz w:val="18"/>
                <w:szCs w:val="18"/>
              </w:rPr>
              <w:t xml:space="preserve">Sign-off / SoD</w:t>
            </w:r>
          </w:p>
        </w:tc>
        <w:tc>
          <w:tcPr>
            <w:tcW w:type="dxa" w:w="1500"/>
            <w:tcMar>
              <w:top w:type="dxa" w:w="60"/>
              <w:left w:type="dxa" w:w="100"/>
              <w:bottom w:type="dxa" w:w="60"/>
              <w:right w:type="dxa" w:w="100"/>
            </w:tcMar>
          </w:tcPr>
          <w:p>
            <w:r>
              <w:rPr>
                <w:b w:val="false"/>
                <w:bCs w:val="false"/>
                <w:color w:val="101820"/>
                <w:sz w:val="18"/>
                <w:szCs w:val="18"/>
              </w:rPr>
              <w:t xml:space="preserve">Per sign-off check</w:t>
            </w:r>
          </w:p>
        </w:tc>
        <w:tc>
          <w:tcPr>
            <w:tcW w:type="dxa" w:w="2900"/>
            <w:tcMar>
              <w:top w:type="dxa" w:w="60"/>
              <w:left w:type="dxa" w:w="100"/>
              <w:bottom w:type="dxa" w:w="60"/>
              <w:right w:type="dxa" w:w="100"/>
            </w:tcMar>
          </w:tcPr>
          <w:p>
            <w:r>
              <w:rPr>
                <w:b w:val="false"/>
                <w:bCs w:val="false"/>
                <w:color w:val="101820"/>
                <w:sz w:val="18"/>
                <w:szCs w:val="18"/>
              </w:rPr>
              <w:t xml:space="preserve">Validity of approval language</w:t>
            </w:r>
          </w:p>
        </w:tc>
        <w:tc>
          <w:tcPr>
            <w:tcW w:type="dxa" w:w="2100"/>
            <w:tcMar>
              <w:top w:type="dxa" w:w="60"/>
              <w:left w:type="dxa" w:w="100"/>
              <w:bottom w:type="dxa" w:w="60"/>
              <w:right w:type="dxa" w:w="100"/>
            </w:tcMar>
          </w:tcPr>
          <w:p>
            <w:r>
              <w:rPr>
                <w:b w:val="false"/>
                <w:bCs w:val="false"/>
                <w:color w:val="101820"/>
                <w:sz w:val="18"/>
                <w:szCs w:val="18"/>
              </w:rPr>
              <w:t xml:space="preserve">email facts, cell_read</w:t>
            </w:r>
          </w:p>
        </w:tc>
        <w:tc>
          <w:tcPr>
            <w:tcW w:type="dxa" w:w="1640"/>
            <w:tcMar>
              <w:top w:type="dxa" w:w="60"/>
              <w:left w:type="dxa" w:w="100"/>
              <w:bottom w:type="dxa" w:w="60"/>
              <w:right w:type="dxa" w:w="100"/>
            </w:tcMar>
          </w:tcPr>
          <w:p>
            <w:r>
              <w:rPr>
                <w:b w:val="false"/>
                <w:bCs w:val="false"/>
                <w:color w:val="101820"/>
                <w:sz w:val="18"/>
                <w:szCs w:val="18"/>
              </w:rPr>
              <w:t xml:space="preserve">Finding + citations</w:t>
            </w:r>
          </w:p>
        </w:tc>
      </w:tr>
      <w:tr>
        <w:tc>
          <w:tcPr>
            <w:tcW w:type="dxa" w:w="1500"/>
            <w:tcMar>
              <w:top w:type="dxa" w:w="60"/>
              <w:left w:type="dxa" w:w="100"/>
              <w:bottom w:type="dxa" w:w="60"/>
              <w:right w:type="dxa" w:w="100"/>
            </w:tcMar>
          </w:tcPr>
          <w:p>
            <w:r>
              <w:rPr>
                <w:b w:val="false"/>
                <w:bCs w:val="false"/>
                <w:color w:val="101820"/>
                <w:sz w:val="18"/>
                <w:szCs w:val="18"/>
              </w:rPr>
              <w:t xml:space="preserve">Vision</w:t>
            </w:r>
          </w:p>
        </w:tc>
        <w:tc>
          <w:tcPr>
            <w:tcW w:type="dxa" w:w="1500"/>
            <w:tcMar>
              <w:top w:type="dxa" w:w="60"/>
              <w:left w:type="dxa" w:w="100"/>
              <w:bottom w:type="dxa" w:w="60"/>
              <w:right w:type="dxa" w:w="100"/>
            </w:tcMar>
          </w:tcPr>
          <w:p>
            <w:r>
              <w:rPr>
                <w:b w:val="false"/>
                <w:bCs w:val="false"/>
                <w:color w:val="101820"/>
                <w:sz w:val="18"/>
                <w:szCs w:val="18"/>
              </w:rPr>
              <w:t xml:space="preserve">Per vision check</w:t>
            </w:r>
          </w:p>
        </w:tc>
        <w:tc>
          <w:tcPr>
            <w:tcW w:type="dxa" w:w="2900"/>
            <w:tcMar>
              <w:top w:type="dxa" w:w="60"/>
              <w:left w:type="dxa" w:w="100"/>
              <w:bottom w:type="dxa" w:w="60"/>
              <w:right w:type="dxa" w:w="100"/>
            </w:tcMar>
          </w:tcPr>
          <w:p>
            <w:r>
              <w:rPr>
                <w:b w:val="false"/>
                <w:bCs w:val="false"/>
                <w:color w:val="101820"/>
                <w:sz w:val="18"/>
                <w:szCs w:val="18"/>
              </w:rPr>
              <w:t xml:space="preserve">Which screenshot; where the value sits</w:t>
            </w:r>
          </w:p>
        </w:tc>
        <w:tc>
          <w:tcPr>
            <w:tcW w:type="dxa" w:w="2100"/>
            <w:tcMar>
              <w:top w:type="dxa" w:w="60"/>
              <w:left w:type="dxa" w:w="100"/>
              <w:bottom w:type="dxa" w:w="60"/>
              <w:right w:type="dxa" w:w="100"/>
            </w:tcMar>
          </w:tcPr>
          <w:p>
            <w:r>
              <w:rPr>
                <w:b w:val="false"/>
                <w:bCs w:val="false"/>
                <w:color w:val="101820"/>
                <w:sz w:val="18"/>
                <w:szCs w:val="18"/>
              </w:rPr>
              <w:t xml:space="preserve">ocr_labeled_number, cell_read</w:t>
            </w:r>
          </w:p>
        </w:tc>
        <w:tc>
          <w:tcPr>
            <w:tcW w:type="dxa" w:w="1640"/>
            <w:tcMar>
              <w:top w:type="dxa" w:w="60"/>
              <w:left w:type="dxa" w:w="100"/>
              <w:bottom w:type="dxa" w:w="60"/>
              <w:right w:type="dxa" w:w="100"/>
            </w:tcMar>
          </w:tcPr>
          <w:p>
            <w:r>
              <w:rPr>
                <w:b w:val="false"/>
                <w:bCs w:val="false"/>
                <w:color w:val="101820"/>
                <w:sz w:val="18"/>
                <w:szCs w:val="18"/>
              </w:rPr>
              <w:t xml:space="preserve">Finding + citations</w:t>
            </w:r>
          </w:p>
        </w:tc>
      </w:tr>
      <w:tr>
        <w:tc>
          <w:tcPr>
            <w:tcW w:type="dxa" w:w="1500"/>
            <w:tcMar>
              <w:top w:type="dxa" w:w="60"/>
              <w:left w:type="dxa" w:w="100"/>
              <w:bottom w:type="dxa" w:w="60"/>
              <w:right w:type="dxa" w:w="100"/>
            </w:tcMar>
          </w:tcPr>
          <w:p>
            <w:r>
              <w:rPr>
                <w:b w:val="false"/>
                <w:bCs w:val="false"/>
                <w:color w:val="101820"/>
                <w:sz w:val="18"/>
                <w:szCs w:val="18"/>
              </w:rPr>
              <w:t xml:space="preserve">Blinded Verifier</w:t>
            </w:r>
          </w:p>
        </w:tc>
        <w:tc>
          <w:tcPr>
            <w:tcW w:type="dxa" w:w="1500"/>
            <w:tcMar>
              <w:top w:type="dxa" w:w="60"/>
              <w:left w:type="dxa" w:w="100"/>
              <w:bottom w:type="dxa" w:w="60"/>
              <w:right w:type="dxa" w:w="100"/>
            </w:tcMar>
          </w:tcPr>
          <w:p>
            <w:r>
              <w:rPr>
                <w:b w:val="false"/>
                <w:bCs w:val="false"/>
                <w:color w:val="101820"/>
                <w:sz w:val="18"/>
                <w:szCs w:val="18"/>
              </w:rPr>
              <w:t xml:space="preserve">Per finding</w:t>
            </w:r>
          </w:p>
        </w:tc>
        <w:tc>
          <w:tcPr>
            <w:tcW w:type="dxa" w:w="2900"/>
            <w:tcMar>
              <w:top w:type="dxa" w:w="60"/>
              <w:left w:type="dxa" w:w="100"/>
              <w:bottom w:type="dxa" w:w="60"/>
              <w:right w:type="dxa" w:w="100"/>
            </w:tcMar>
          </w:tcPr>
          <w:p>
            <w:r>
              <w:rPr>
                <w:b w:val="false"/>
                <w:bCs w:val="false"/>
                <w:color w:val="101820"/>
                <w:sz w:val="18"/>
                <w:szCs w:val="18"/>
              </w:rPr>
              <w:t xml:space="preserve">Does the verdict re-derive from citations alone (input type excludes executor reasoning)</w:t>
            </w:r>
          </w:p>
        </w:tc>
        <w:tc>
          <w:tcPr>
            <w:tcW w:type="dxa" w:w="2100"/>
            <w:tcMar>
              <w:top w:type="dxa" w:w="60"/>
              <w:left w:type="dxa" w:w="100"/>
              <w:bottom w:type="dxa" w:w="60"/>
              <w:right w:type="dxa" w:w="100"/>
            </w:tcMar>
          </w:tcPr>
          <w:p>
            <w:r>
              <w:rPr>
                <w:b w:val="false"/>
                <w:bCs w:val="false"/>
                <w:color w:val="101820"/>
                <w:sz w:val="18"/>
                <w:szCs w:val="18"/>
              </w:rPr>
              <w:t xml:space="preserve">same tools, re-performing</w:t>
            </w:r>
          </w:p>
        </w:tc>
        <w:tc>
          <w:tcPr>
            <w:tcW w:type="dxa" w:w="1640"/>
            <w:tcMar>
              <w:top w:type="dxa" w:w="60"/>
              <w:left w:type="dxa" w:w="100"/>
              <w:bottom w:type="dxa" w:w="60"/>
              <w:right w:type="dxa" w:w="100"/>
            </w:tcMar>
          </w:tcPr>
          <w:p>
            <w:r>
              <w:rPr>
                <w:b w:val="false"/>
                <w:bCs w:val="false"/>
                <w:color w:val="101820"/>
                <w:sz w:val="18"/>
                <w:szCs w:val="18"/>
              </w:rPr>
              <w:t xml:space="preserve">agree / disagree → queue</w:t>
            </w:r>
          </w:p>
        </w:tc>
      </w:tr>
    </w:tbl>
    <w:p>
      <w:pPr>
        <w:spacing w:after="110"/>
      </w:pPr>
      <w:r>
        <w:t xml:space="preserve">The Anomaly Sentinel is deliberately not an agent: six deterministic detectors (recycled artifacts, placeholders, pasted constants, tolerance-edge deltas, duplicate bytes, single-actor sign-off), every anomaly cited.</w:t>
      </w:r>
    </w:p>
    <w:p>
      <w:pPr>
        <w:pStyle w:val="Heading2"/>
      </w:pPr>
      <w:r>
        <w:t xml:space="preserve">Protocol hardenings (each earned from an observed live-model failure)</w:t>
      </w:r>
    </w:p>
    <w:p>
      <w:pPr>
        <w:pStyle w:val="ListParagraph"/>
        <w:numPr>
          <w:ilvl w:val="0"/>
          <w:numId w:val="3"/>
        </w:numPr>
        <w:spacing w:after="70"/>
      </w:pPr>
      <w:r>
        <w:t xml:space="preserve">Every tool is presented with its exact argument signature derived from code — a model never guesses a parameter name.</w:t>
      </w:r>
    </w:p>
    <w:p>
      <w:pPr>
        <w:pStyle w:val="ListParagraph"/>
        <w:numPr>
          <w:ilvl w:val="0"/>
          <w:numId w:val="3"/>
        </w:numPr>
        <w:spacing w:after="70"/>
      </w:pPr>
      <w:r>
        <w:t xml:space="preserve">A deterministic loop-breaker refuses to re-execute an identical successful call and instructs the model to conclude.</w:t>
      </w:r>
    </w:p>
    <w:p>
      <w:pPr>
        <w:pStyle w:val="ListParagraph"/>
        <w:numPr>
          <w:ilvl w:val="0"/>
          <w:numId w:val="3"/>
        </w:numPr>
        <w:spacing w:after="70"/>
      </w:pPr>
      <w:r>
        <w:t xml:space="preserve">Plan-pinned lookups are prefetched deterministically and seeded into observations — where a locator leaves nothing to decide, no model decides it.</w:t>
      </w:r>
    </w:p>
    <w:p>
      <w:pPr>
        <w:pStyle w:val="Heading2"/>
      </w:pPr>
      <w:r>
        <w:t xml:space="preserve">Per-seat model routing</w:t>
      </w:r>
    </w:p>
    <w:p>
      <w:pPr>
        <w:spacing w:after="110"/>
      </w:pPr>
      <w:r>
        <w:t xml:space="preserve">Each seat can run a different approved model (economical model for checks, reasoning model for the Verifier, routing meta-model for plan compilation). Graduation for a newly approved model: deployment added → one seat routed → five eval gates green → assignment ships. The ledger attributes every call to its backend. In validation, a two-model configuration passed every gate with 100% verdict stability across batch repeats.</w:t>
      </w:r>
    </w:p>
    <w:p>
      <w:pPr>
        <w:pStyle w:val="Heading1"/>
      </w:pPr>
      <w:r>
        <w:t xml:space="preserve">7. Tool catalog — the only source of facts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40"/>
      </w:tblGrid>
      <w:tr>
        <w:tc>
          <w:tcPr>
            <w:tcW w:type="dxa" w:w="2300"/>
            <w:shd w:fill="F0F6FA" w:val="clear"/>
            <w:tcMar>
              <w:top w:type="dxa" w:w="60"/>
              <w:left w:type="dxa" w:w="100"/>
              <w:bottom w:type="dxa" w:w="60"/>
              <w:right w:type="dxa" w:w="100"/>
            </w:tcMar>
          </w:tcPr>
          <w:p>
            <w:r>
              <w:rPr>
                <w:b/>
                <w:bCs/>
                <w:color w:val="00699B"/>
                <w:sz w:val="18"/>
                <w:szCs w:val="18"/>
              </w:rPr>
              <w:t xml:space="preserve">Tool</w:t>
            </w:r>
          </w:p>
        </w:tc>
        <w:tc>
          <w:tcPr>
            <w:tcW w:type="dxa" w:w="3700"/>
            <w:shd w:fill="F0F6FA" w:val="clear"/>
            <w:tcMar>
              <w:top w:type="dxa" w:w="60"/>
              <w:left w:type="dxa" w:w="100"/>
              <w:bottom w:type="dxa" w:w="60"/>
              <w:right w:type="dxa" w:w="100"/>
            </w:tcMar>
          </w:tcPr>
          <w:p>
            <w:r>
              <w:rPr>
                <w:b/>
                <w:bCs/>
                <w:color w:val="00699B"/>
                <w:sz w:val="18"/>
                <w:szCs w:val="18"/>
              </w:rPr>
              <w:t xml:space="preserve">Contract</w:t>
            </w:r>
          </w:p>
        </w:tc>
        <w:tc>
          <w:tcPr>
            <w:tcW w:type="dxa" w:w="3640"/>
            <w:shd w:fill="F0F6FA" w:val="clear"/>
            <w:tcMar>
              <w:top w:type="dxa" w:w="60"/>
              <w:left w:type="dxa" w:w="100"/>
              <w:bottom w:type="dxa" w:w="60"/>
              <w:right w:type="dxa" w:w="100"/>
            </w:tcMar>
          </w:tcPr>
          <w:p>
            <w:r>
              <w:rPr>
                <w:b/>
                <w:bCs/>
                <w:color w:val="00699B"/>
                <w:sz w:val="18"/>
                <w:szCs w:val="18"/>
              </w:rPr>
              <w:t xml:space="preserve">Returns</w:t>
            </w:r>
          </w:p>
        </w:tc>
      </w:tr>
      <w:tr>
        <w:tc>
          <w:tcPr>
            <w:tcW w:type="dxa" w:w="2300"/>
            <w:tcMar>
              <w:top w:type="dxa" w:w="60"/>
              <w:left w:type="dxa" w:w="100"/>
              <w:bottom w:type="dxa" w:w="60"/>
              <w:right w:type="dxa" w:w="100"/>
            </w:tcMar>
          </w:tcPr>
          <w:p>
            <w:r>
              <w:rPr>
                <w:b w:val="false"/>
                <w:bCs w:val="false"/>
                <w:color w:val="101820"/>
                <w:sz w:val="18"/>
                <w:szCs w:val="18"/>
              </w:rPr>
              <w:t xml:space="preserve">cell_read / range_read</w:t>
            </w:r>
          </w:p>
        </w:tc>
        <w:tc>
          <w:tcPr>
            <w:tcW w:type="dxa" w:w="3700"/>
            <w:tcMar>
              <w:top w:type="dxa" w:w="60"/>
              <w:left w:type="dxa" w:w="100"/>
              <w:bottom w:type="dxa" w:w="60"/>
              <w:right w:type="dxa" w:w="100"/>
            </w:tcMar>
          </w:tcPr>
          <w:p>
            <w:r>
              <w:rPr>
                <w:b w:val="false"/>
                <w:bCs w:val="false"/>
                <w:color w:val="101820"/>
                <w:sz w:val="18"/>
                <w:szCs w:val="18"/>
              </w:rPr>
              <w:t xml:space="preserve">graph, file hash, sheet, cell(s)</w:t>
            </w:r>
          </w:p>
        </w:tc>
        <w:tc>
          <w:tcPr>
            <w:tcW w:type="dxa" w:w="3640"/>
            <w:tcMar>
              <w:top w:type="dxa" w:w="60"/>
              <w:left w:type="dxa" w:w="100"/>
              <w:bottom w:type="dxa" w:w="60"/>
              <w:right w:type="dxa" w:w="100"/>
            </w:tcMar>
          </w:tcPr>
          <w:p>
            <w:r>
              <w:rPr>
                <w:b w:val="false"/>
                <w:bCs w:val="false"/>
                <w:color w:val="101820"/>
                <w:sz w:val="18"/>
                <w:szCs w:val="18"/>
              </w:rPr>
              <w:t xml:space="preserve">value(s) + cell citation; missing is a loud error</w:t>
            </w:r>
          </w:p>
        </w:tc>
      </w:tr>
      <w:tr>
        <w:tc>
          <w:tcPr>
            <w:tcW w:type="dxa" w:w="2300"/>
            <w:tcMar>
              <w:top w:type="dxa" w:w="60"/>
              <w:left w:type="dxa" w:w="100"/>
              <w:bottom w:type="dxa" w:w="60"/>
              <w:right w:type="dxa" w:w="100"/>
            </w:tcMar>
          </w:tcPr>
          <w:p>
            <w:r>
              <w:rPr>
                <w:b w:val="false"/>
                <w:bCs w:val="false"/>
                <w:color w:val="101820"/>
                <w:sz w:val="18"/>
                <w:szCs w:val="18"/>
              </w:rPr>
              <w:t xml:space="preserve">recompute</w:t>
            </w:r>
          </w:p>
        </w:tc>
        <w:tc>
          <w:tcPr>
            <w:tcW w:type="dxa" w:w="3700"/>
            <w:tcMar>
              <w:top w:type="dxa" w:w="60"/>
              <w:left w:type="dxa" w:w="100"/>
              <w:bottom w:type="dxa" w:w="60"/>
              <w:right w:type="dxa" w:w="100"/>
            </w:tcMar>
          </w:tcPr>
          <w:p>
            <w:r>
              <w:rPr>
                <w:b w:val="false"/>
                <w:bCs w:val="false"/>
                <w:color w:val="101820"/>
                <w:sz w:val="18"/>
                <w:szCs w:val="18"/>
              </w:rPr>
              <w:t xml:space="preserve">op (sum/product/delta-zero/equals), sources, target, tolerance</w:t>
            </w:r>
          </w:p>
        </w:tc>
        <w:tc>
          <w:tcPr>
            <w:tcW w:type="dxa" w:w="3640"/>
            <w:tcMar>
              <w:top w:type="dxa" w:w="60"/>
              <w:left w:type="dxa" w:w="100"/>
              <w:bottom w:type="dxa" w:w="60"/>
              <w:right w:type="dxa" w:w="100"/>
            </w:tcMar>
          </w:tcPr>
          <w:p>
            <w:r>
              <w:rPr>
                <w:b w:val="false"/>
                <w:bCs w:val="false"/>
                <w:color w:val="101820"/>
                <w:sz w:val="18"/>
                <w:szCs w:val="18"/>
              </w:rPr>
              <w:t xml:space="preserve">ok / computed / delta — pure arithmetic</w:t>
            </w:r>
          </w:p>
        </w:tc>
      </w:tr>
      <w:tr>
        <w:tc>
          <w:tcPr>
            <w:tcW w:type="dxa" w:w="2300"/>
            <w:tcMar>
              <w:top w:type="dxa" w:w="60"/>
              <w:left w:type="dxa" w:w="100"/>
              <w:bottom w:type="dxa" w:w="60"/>
              <w:right w:type="dxa" w:w="100"/>
            </w:tcMar>
          </w:tcPr>
          <w:p>
            <w:r>
              <w:rPr>
                <w:b w:val="false"/>
                <w:bCs w:val="false"/>
                <w:color w:val="101820"/>
                <w:sz w:val="18"/>
                <w:szCs w:val="18"/>
              </w:rPr>
              <w:t xml:space="preserve">timestamp_order</w:t>
            </w:r>
          </w:p>
        </w:tc>
        <w:tc>
          <w:tcPr>
            <w:tcW w:type="dxa" w:w="3700"/>
            <w:tcMar>
              <w:top w:type="dxa" w:w="60"/>
              <w:left w:type="dxa" w:w="100"/>
              <w:bottom w:type="dxa" w:w="60"/>
              <w:right w:type="dxa" w:w="100"/>
            </w:tcMar>
          </w:tcPr>
          <w:p>
            <w:r>
              <w:rPr>
                <w:b w:val="false"/>
                <w:bCs w:val="false"/>
                <w:color w:val="101820"/>
                <w:sz w:val="18"/>
                <w:szCs w:val="18"/>
              </w:rPr>
              <w:t xml:space="preserve">two raw stamps + plan-pinned timezones</w:t>
            </w:r>
          </w:p>
        </w:tc>
        <w:tc>
          <w:tcPr>
            <w:tcW w:type="dxa" w:w="3640"/>
            <w:tcMar>
              <w:top w:type="dxa" w:w="60"/>
              <w:left w:type="dxa" w:w="100"/>
              <w:bottom w:type="dxa" w:w="60"/>
              <w:right w:type="dxa" w:w="100"/>
            </w:tcMar>
          </w:tcPr>
          <w:p>
            <w:r>
              <w:rPr>
                <w:b w:val="false"/>
                <w:bCs w:val="false"/>
                <w:color w:val="101820"/>
                <w:sz w:val="18"/>
                <w:szCs w:val="18"/>
              </w:rPr>
              <w:t xml:space="preserve">UTC-normalized datetimes + ordering</w:t>
            </w:r>
          </w:p>
        </w:tc>
      </w:tr>
      <w:tr>
        <w:tc>
          <w:tcPr>
            <w:tcW w:type="dxa" w:w="2300"/>
            <w:tcMar>
              <w:top w:type="dxa" w:w="60"/>
              <w:left w:type="dxa" w:w="100"/>
              <w:bottom w:type="dxa" w:w="60"/>
              <w:right w:type="dxa" w:w="100"/>
            </w:tcMar>
          </w:tcPr>
          <w:p>
            <w:r>
              <w:rPr>
                <w:b w:val="false"/>
                <w:bCs w:val="false"/>
                <w:color w:val="101820"/>
                <w:sz w:val="18"/>
                <w:szCs w:val="18"/>
              </w:rPr>
              <w:t xml:space="preserve">email_signoff_facts</w:t>
            </w:r>
          </w:p>
        </w:tc>
        <w:tc>
          <w:tcPr>
            <w:tcW w:type="dxa" w:w="3700"/>
            <w:tcMar>
              <w:top w:type="dxa" w:w="60"/>
              <w:left w:type="dxa" w:w="100"/>
              <w:bottom w:type="dxa" w:w="60"/>
              <w:right w:type="dxa" w:w="100"/>
            </w:tcMar>
          </w:tcPr>
          <w:p>
            <w:r>
              <w:rPr>
                <w:b w:val="false"/>
                <w:bCs w:val="false"/>
                <w:color w:val="101820"/>
                <w:sz w:val="18"/>
                <w:szCs w:val="18"/>
              </w:rPr>
              <w:t xml:space="preserve">graph, message id</w:t>
            </w:r>
          </w:p>
        </w:tc>
        <w:tc>
          <w:tcPr>
            <w:tcW w:type="dxa" w:w="3640"/>
            <w:tcMar>
              <w:top w:type="dxa" w:w="60"/>
              <w:left w:type="dxa" w:w="100"/>
              <w:bottom w:type="dxa" w:w="60"/>
              <w:right w:type="dxa" w:w="100"/>
            </w:tcMar>
          </w:tcPr>
          <w:p>
            <w:r>
              <w:rPr>
                <w:b w:val="false"/>
                <w:bCs w:val="false"/>
                <w:color w:val="101820"/>
                <w:sz w:val="18"/>
                <w:szCs w:val="18"/>
              </w:rPr>
              <w:t xml:space="preserve">sender, UTC date, approval line — line-cited</w:t>
            </w:r>
          </w:p>
        </w:tc>
      </w:tr>
      <w:tr>
        <w:tc>
          <w:tcPr>
            <w:tcW w:type="dxa" w:w="2300"/>
            <w:tcMar>
              <w:top w:type="dxa" w:w="60"/>
              <w:left w:type="dxa" w:w="100"/>
              <w:bottom w:type="dxa" w:w="60"/>
              <w:right w:type="dxa" w:w="100"/>
            </w:tcMar>
          </w:tcPr>
          <w:p>
            <w:r>
              <w:rPr>
                <w:b w:val="false"/>
                <w:bCs w:val="false"/>
                <w:color w:val="101820"/>
                <w:sz w:val="18"/>
                <w:szCs w:val="18"/>
              </w:rPr>
              <w:t xml:space="preserve">ocr_labeled_number / ocr_read</w:t>
            </w:r>
          </w:p>
        </w:tc>
        <w:tc>
          <w:tcPr>
            <w:tcW w:type="dxa" w:w="3700"/>
            <w:tcMar>
              <w:top w:type="dxa" w:w="60"/>
              <w:left w:type="dxa" w:w="100"/>
              <w:bottom w:type="dxa" w:w="60"/>
              <w:right w:type="dxa" w:w="100"/>
            </w:tcMar>
          </w:tcPr>
          <w:p>
            <w:r>
              <w:rPr>
                <w:b w:val="false"/>
                <w:bCs w:val="false"/>
                <w:color w:val="101820"/>
                <w:sz w:val="18"/>
                <w:szCs w:val="18"/>
              </w:rPr>
              <w:t xml:space="preserve">graph, image hash (+ label)</w:t>
            </w:r>
          </w:p>
        </w:tc>
        <w:tc>
          <w:tcPr>
            <w:tcW w:type="dxa" w:w="3640"/>
            <w:tcMar>
              <w:top w:type="dxa" w:w="60"/>
              <w:left w:type="dxa" w:w="100"/>
              <w:bottom w:type="dxa" w:w="60"/>
              <w:right w:type="dxa" w:w="100"/>
            </w:tcMar>
          </w:tcPr>
          <w:p>
            <w:r>
              <w:rPr>
                <w:b w:val="false"/>
                <w:bCs w:val="false"/>
                <w:color w:val="101820"/>
                <w:sz w:val="18"/>
                <w:szCs w:val="18"/>
              </w:rPr>
              <w:t xml:space="preserve">OCR text / labeled value + image citation</w:t>
            </w:r>
          </w:p>
        </w:tc>
      </w:tr>
      <w:tr>
        <w:tc>
          <w:tcPr>
            <w:tcW w:type="dxa" w:w="2300"/>
            <w:tcMar>
              <w:top w:type="dxa" w:w="60"/>
              <w:left w:type="dxa" w:w="100"/>
              <w:bottom w:type="dxa" w:w="60"/>
              <w:right w:type="dxa" w:w="100"/>
            </w:tcMar>
          </w:tcPr>
          <w:p>
            <w:r>
              <w:rPr>
                <w:b w:val="false"/>
                <w:bCs w:val="false"/>
                <w:color w:val="101820"/>
                <w:sz w:val="18"/>
                <w:szCs w:val="18"/>
              </w:rPr>
              <w:t xml:space="preserve">citation.resolve</w:t>
            </w:r>
          </w:p>
        </w:tc>
        <w:tc>
          <w:tcPr>
            <w:tcW w:type="dxa" w:w="3700"/>
            <w:tcMar>
              <w:top w:type="dxa" w:w="60"/>
              <w:left w:type="dxa" w:w="100"/>
              <w:bottom w:type="dxa" w:w="60"/>
              <w:right w:type="dxa" w:w="100"/>
            </w:tcMar>
          </w:tcPr>
          <w:p>
            <w:r>
              <w:rPr>
                <w:b w:val="false"/>
                <w:bCs w:val="false"/>
                <w:color w:val="101820"/>
                <w:sz w:val="18"/>
                <w:szCs w:val="18"/>
              </w:rPr>
              <w:t xml:space="preserve">citation, graph</w:t>
            </w:r>
          </w:p>
        </w:tc>
        <w:tc>
          <w:tcPr>
            <w:tcW w:type="dxa" w:w="3640"/>
            <w:tcMar>
              <w:top w:type="dxa" w:w="60"/>
              <w:left w:type="dxa" w:w="100"/>
              <w:bottom w:type="dxa" w:w="60"/>
              <w:right w:type="dxa" w:w="100"/>
            </w:tcMar>
          </w:tcPr>
          <w:p>
            <w:r>
              <w:rPr>
                <w:b w:val="false"/>
                <w:bCs w:val="false"/>
                <w:color w:val="101820"/>
                <w:sz w:val="18"/>
                <w:szCs w:val="18"/>
              </w:rPr>
              <w:t xml:space="preserve">true only if the locator dereferences — the gate</w:t>
            </w:r>
          </w:p>
        </w:tc>
      </w:tr>
    </w:tbl>
    <w:p>
      <w:pPr>
        <w:pStyle w:val="Heading1"/>
      </w:pPr>
      <w:r>
        <w:t xml:space="preserve">8. Human in the loop — two gates, both human-owned</w:t>
      </w:r>
    </w:p>
    <w:p>
      <w:pPr>
        <w:spacing w:after="110"/>
      </w:pPr>
      <w:r>
        <w:t xml:space="preserve">Design gate: the Plan Compiler drafts; an expert pins tolerances, timezones and scope, and freezes the plan as versioned immutable JSON. The runtime refuses unapproved plans.</w:t>
      </w:r>
    </w:p>
    <w:p>
      <w:pPr>
        <w:spacing w:after="110"/>
      </w:pPr>
      <w:r>
        <w:t xml:space="preserve">Run gate: sentinel HIGH anomalies, verifier disagreements, and gaps converge on the exception queue; a reviewer adjudicates each with full cited context. In Shadow mode nothing auto-submits; final package approval is always a human signature. Graduation Shadow → Assist → Primary is per control, earned in measured recall, false-exception rate and reproducibility.</w:t>
      </w:r>
    </w:p>
    <w:p>
      <w:pPr>
        <w:pStyle w:val="Heading1"/>
      </w:pPr>
      <w:r>
        <w:t xml:space="preserve">9. Continuous learning — reinforcement without gradients</w:t>
      </w:r>
    </w:p>
    <w:p>
      <w:pPr>
        <w:spacing w:after="110"/>
      </w:pPr>
      <w:r>
        <w:t xml:space="preserve">Reinforcement learning IS in the loop — the bandit family, not the gradient family. Every adjudication is a reward (agreement = 1, override = 0) updating a Beta-Bernoulli posterior per (control, check): transparent agree/override counts anyone can read, version, and revoke. The posterior drives confidence and review priority (most-uncertain first) and the evidence for Assist/Primary graduation — never verdicts. Learning passes are offline and idempotent; state lives beside the Golden Library.</w:t>
      </w:r>
    </w:p>
    <w:p>
      <w:pPr>
        <w:spacing w:after="110"/>
      </w:pPr>
      <w:r>
        <w:t xml:space="preserve">Why not fine-tuning/gradient RL: a controls program produces orders of magnitude fewer reward events than gradient methods need, and each expert adjudication is too precious to dissolve into an opaque weight update. Golden Library exemplars enter the runtime path only through the eval gates plus SME sign-off — the system is permanently tested against its own history, so quality compounds and cannot silently drift.</w:t>
      </w:r>
    </w:p>
    <w:p>
      <w:pPr>
        <w:pStyle w:val="Heading1"/>
      </w:pPr>
      <w:r>
        <w:t xml:space="preserve">10. Evaluation harness — five gates, batch-scored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440"/>
      </w:tblGrid>
      <w:tr>
        <w:tc>
          <w:tcPr>
            <w:tcW w:type="dxa" w:w="2100"/>
            <w:shd w:fill="F0F6FA" w:val="clear"/>
            <w:tcMar>
              <w:top w:type="dxa" w:w="60"/>
              <w:left w:type="dxa" w:w="100"/>
              <w:bottom w:type="dxa" w:w="60"/>
              <w:right w:type="dxa" w:w="100"/>
            </w:tcMar>
          </w:tcPr>
          <w:p>
            <w:r>
              <w:rPr>
                <w:b/>
                <w:bCs/>
                <w:color w:val="00699B"/>
                <w:sz w:val="18"/>
                <w:szCs w:val="18"/>
              </w:rPr>
              <w:t xml:space="preserve">Gate</w:t>
            </w:r>
          </w:p>
        </w:tc>
        <w:tc>
          <w:tcPr>
            <w:tcW w:type="dxa" w:w="5100"/>
            <w:shd w:fill="F0F6FA" w:val="clear"/>
            <w:tcMar>
              <w:top w:type="dxa" w:w="60"/>
              <w:left w:type="dxa" w:w="100"/>
              <w:bottom w:type="dxa" w:w="60"/>
              <w:right w:type="dxa" w:w="100"/>
            </w:tcMar>
          </w:tcPr>
          <w:p>
            <w:r>
              <w:rPr>
                <w:b/>
                <w:bCs/>
                <w:color w:val="00699B"/>
                <w:sz w:val="18"/>
                <w:szCs w:val="18"/>
              </w:rPr>
              <w:t xml:space="preserve">Meaning</w:t>
            </w:r>
          </w:p>
        </w:tc>
        <w:tc>
          <w:tcPr>
            <w:tcW w:type="dxa" w:w="2440"/>
            <w:shd w:fill="F0F6FA" w:val="clear"/>
            <w:tcMar>
              <w:top w:type="dxa" w:w="60"/>
              <w:left w:type="dxa" w:w="100"/>
              <w:bottom w:type="dxa" w:w="60"/>
              <w:right w:type="dxa" w:w="100"/>
            </w:tcMar>
          </w:tcPr>
          <w:p>
            <w:r>
              <w:rPr>
                <w:b/>
                <w:bCs/>
                <w:color w:val="00699B"/>
                <w:sz w:val="18"/>
                <w:szCs w:val="18"/>
              </w:rPr>
              <w:t xml:space="preserve">Bar</w:t>
            </w:r>
          </w:p>
        </w:tc>
      </w:tr>
      <w:tr>
        <w:tc>
          <w:tcPr>
            <w:tcW w:type="dxa" w:w="2100"/>
            <w:tcMar>
              <w:top w:type="dxa" w:w="60"/>
              <w:left w:type="dxa" w:w="100"/>
              <w:bottom w:type="dxa" w:w="60"/>
              <w:right w:type="dxa" w:w="100"/>
            </w:tcMar>
          </w:tcPr>
          <w:p>
            <w:r>
              <w:rPr>
                <w:b w:val="false"/>
                <w:bCs w:val="false"/>
                <w:color w:val="101820"/>
                <w:sz w:val="18"/>
                <w:szCs w:val="18"/>
              </w:rPr>
              <w:t xml:space="preserve">Defect recall</w:t>
            </w:r>
          </w:p>
        </w:tc>
        <w:tc>
          <w:tcPr>
            <w:tcW w:type="dxa" w:w="5100"/>
            <w:tcMar>
              <w:top w:type="dxa" w:w="60"/>
              <w:left w:type="dxa" w:w="100"/>
              <w:bottom w:type="dxa" w:w="60"/>
              <w:right w:type="dxa" w:w="100"/>
            </w:tcMar>
          </w:tcPr>
          <w:p>
            <w:r>
              <w:rPr>
                <w:b w:val="false"/>
                <w:bCs w:val="false"/>
                <w:color w:val="101820"/>
                <w:sz w:val="18"/>
                <w:szCs w:val="18"/>
              </w:rPr>
              <w:t xml:space="preserve">Seeded defects caught (altered totals, inverted timestamps, missing sign-off, preparer=reviewer, screenshot mismatch)</w:t>
            </w:r>
          </w:p>
        </w:tc>
        <w:tc>
          <w:tcPr>
            <w:tcW w:type="dxa" w:w="2440"/>
            <w:tcMar>
              <w:top w:type="dxa" w:w="60"/>
              <w:left w:type="dxa" w:w="100"/>
              <w:bottom w:type="dxa" w:w="60"/>
              <w:right w:type="dxa" w:w="100"/>
            </w:tcMar>
          </w:tcPr>
          <w:p>
            <w:r>
              <w:rPr>
                <w:b w:val="false"/>
                <w:bCs w:val="false"/>
                <w:color w:val="101820"/>
                <w:sz w:val="18"/>
                <w:szCs w:val="18"/>
              </w:rPr>
              <w:t xml:space="preserve">100% of seeded classes</w:t>
            </w:r>
          </w:p>
        </w:tc>
      </w:tr>
      <w:tr>
        <w:tc>
          <w:tcPr>
            <w:tcW w:type="dxa" w:w="2100"/>
            <w:tcMar>
              <w:top w:type="dxa" w:w="60"/>
              <w:left w:type="dxa" w:w="100"/>
              <w:bottom w:type="dxa" w:w="60"/>
              <w:right w:type="dxa" w:w="100"/>
            </w:tcMar>
          </w:tcPr>
          <w:p>
            <w:r>
              <w:rPr>
                <w:b w:val="false"/>
                <w:bCs w:val="false"/>
                <w:color w:val="101820"/>
                <w:sz w:val="18"/>
                <w:szCs w:val="18"/>
              </w:rPr>
              <w:t xml:space="preserve">False-exception rate</w:t>
            </w:r>
          </w:p>
        </w:tc>
        <w:tc>
          <w:tcPr>
            <w:tcW w:type="dxa" w:w="5100"/>
            <w:tcMar>
              <w:top w:type="dxa" w:w="60"/>
              <w:left w:type="dxa" w:w="100"/>
              <w:bottom w:type="dxa" w:w="60"/>
              <w:right w:type="dxa" w:w="100"/>
            </w:tcMar>
          </w:tcPr>
          <w:p>
            <w:r>
              <w:rPr>
                <w:b w:val="false"/>
                <w:bCs w:val="false"/>
                <w:color w:val="101820"/>
                <w:sz w:val="18"/>
                <w:szCs w:val="18"/>
              </w:rPr>
              <w:t xml:space="preserve">Clean checks wrongly flagged</w:t>
            </w:r>
          </w:p>
        </w:tc>
        <w:tc>
          <w:tcPr>
            <w:tcW w:type="dxa" w:w="2440"/>
            <w:tcMar>
              <w:top w:type="dxa" w:w="60"/>
              <w:left w:type="dxa" w:w="100"/>
              <w:bottom w:type="dxa" w:w="60"/>
              <w:right w:type="dxa" w:w="100"/>
            </w:tcMar>
          </w:tcPr>
          <w:p>
            <w:r>
              <w:rPr>
                <w:b w:val="false"/>
                <w:bCs w:val="false"/>
                <w:color w:val="101820"/>
                <w:sz w:val="18"/>
                <w:szCs w:val="18"/>
              </w:rPr>
              <w:t xml:space="preserve">Bounded, tracked</w:t>
            </w:r>
          </w:p>
        </w:tc>
      </w:tr>
      <w:tr>
        <w:tc>
          <w:tcPr>
            <w:tcW w:type="dxa" w:w="2100"/>
            <w:tcMar>
              <w:top w:type="dxa" w:w="60"/>
              <w:left w:type="dxa" w:w="100"/>
              <w:bottom w:type="dxa" w:w="60"/>
              <w:right w:type="dxa" w:w="100"/>
            </w:tcMar>
          </w:tcPr>
          <w:p>
            <w:r>
              <w:rPr>
                <w:b w:val="false"/>
                <w:bCs w:val="false"/>
                <w:color w:val="101820"/>
                <w:sz w:val="18"/>
                <w:szCs w:val="18"/>
              </w:rPr>
              <w:t xml:space="preserve">Citation validity</w:t>
            </w:r>
          </w:p>
        </w:tc>
        <w:tc>
          <w:tcPr>
            <w:tcW w:type="dxa" w:w="5100"/>
            <w:tcMar>
              <w:top w:type="dxa" w:w="60"/>
              <w:left w:type="dxa" w:w="100"/>
              <w:bottom w:type="dxa" w:w="60"/>
              <w:right w:type="dxa" w:w="100"/>
            </w:tcMar>
          </w:tcPr>
          <w:p>
            <w:r>
              <w:rPr>
                <w:b w:val="false"/>
                <w:bCs w:val="false"/>
                <w:color w:val="101820"/>
                <w:sz w:val="18"/>
                <w:szCs w:val="18"/>
              </w:rPr>
              <w:t xml:space="preserve">Every claim's locator resolves</w:t>
            </w:r>
          </w:p>
        </w:tc>
        <w:tc>
          <w:tcPr>
            <w:tcW w:type="dxa" w:w="2440"/>
            <w:tcMar>
              <w:top w:type="dxa" w:w="60"/>
              <w:left w:type="dxa" w:w="100"/>
              <w:bottom w:type="dxa" w:w="60"/>
              <w:right w:type="dxa" w:w="100"/>
            </w:tcMar>
          </w:tcPr>
          <w:p>
            <w:r>
              <w:rPr>
                <w:b w:val="false"/>
                <w:bCs w:val="false"/>
                <w:color w:val="101820"/>
                <w:sz w:val="18"/>
                <w:szCs w:val="18"/>
              </w:rPr>
              <w:t xml:space="preserve">100% — hard gate</w:t>
            </w:r>
          </w:p>
        </w:tc>
      </w:tr>
      <w:tr>
        <w:tc>
          <w:tcPr>
            <w:tcW w:type="dxa" w:w="2100"/>
            <w:tcMar>
              <w:top w:type="dxa" w:w="60"/>
              <w:left w:type="dxa" w:w="100"/>
              <w:bottom w:type="dxa" w:w="60"/>
              <w:right w:type="dxa" w:w="100"/>
            </w:tcMar>
          </w:tcPr>
          <w:p>
            <w:r>
              <w:rPr>
                <w:b w:val="false"/>
                <w:bCs w:val="false"/>
                <w:color w:val="101820"/>
                <w:sz w:val="18"/>
                <w:szCs w:val="18"/>
              </w:rPr>
              <w:t xml:space="preserve">Abstention correctness</w:t>
            </w:r>
          </w:p>
        </w:tc>
        <w:tc>
          <w:tcPr>
            <w:tcW w:type="dxa" w:w="5100"/>
            <w:tcMar>
              <w:top w:type="dxa" w:w="60"/>
              <w:left w:type="dxa" w:w="100"/>
              <w:bottom w:type="dxa" w:w="60"/>
              <w:right w:type="dxa" w:w="100"/>
            </w:tcMar>
          </w:tcPr>
          <w:p>
            <w:r>
              <w:rPr>
                <w:b w:val="false"/>
                <w:bCs w:val="false"/>
                <w:color w:val="101820"/>
                <w:sz w:val="18"/>
                <w:szCs w:val="18"/>
              </w:rPr>
              <w:t xml:space="preserve">Missing evidence declared, never invented</w:t>
            </w:r>
          </w:p>
        </w:tc>
        <w:tc>
          <w:tcPr>
            <w:tcW w:type="dxa" w:w="2440"/>
            <w:tcMar>
              <w:top w:type="dxa" w:w="60"/>
              <w:left w:type="dxa" w:w="100"/>
              <w:bottom w:type="dxa" w:w="60"/>
              <w:right w:type="dxa" w:w="100"/>
            </w:tcMar>
          </w:tcPr>
          <w:p>
            <w:r>
              <w:rPr>
                <w:b w:val="false"/>
                <w:bCs w:val="false"/>
                <w:color w:val="101820"/>
                <w:sz w:val="18"/>
                <w:szCs w:val="18"/>
              </w:rPr>
              <w:t xml:space="preserve">100%</w:t>
            </w:r>
          </w:p>
        </w:tc>
      </w:tr>
      <w:tr>
        <w:tc>
          <w:tcPr>
            <w:tcW w:type="dxa" w:w="2100"/>
            <w:tcMar>
              <w:top w:type="dxa" w:w="60"/>
              <w:left w:type="dxa" w:w="100"/>
              <w:bottom w:type="dxa" w:w="60"/>
              <w:right w:type="dxa" w:w="100"/>
            </w:tcMar>
          </w:tcPr>
          <w:p>
            <w:r>
              <w:rPr>
                <w:b w:val="false"/>
                <w:bCs w:val="false"/>
                <w:color w:val="101820"/>
                <w:sz w:val="18"/>
                <w:szCs w:val="18"/>
              </w:rPr>
              <w:t xml:space="preserve">Reproducibility</w:t>
            </w:r>
          </w:p>
        </w:tc>
        <w:tc>
          <w:tcPr>
            <w:tcW w:type="dxa" w:w="5100"/>
            <w:tcMar>
              <w:top w:type="dxa" w:w="60"/>
              <w:left w:type="dxa" w:w="100"/>
              <w:bottom w:type="dxa" w:w="60"/>
              <w:right w:type="dxa" w:w="100"/>
            </w:tcMar>
          </w:tcPr>
          <w:p>
            <w:r>
              <w:rPr>
                <w:b w:val="false"/>
                <w:bCs w:val="false"/>
                <w:color w:val="101820"/>
                <w:sz w:val="18"/>
                <w:szCs w:val="18"/>
              </w:rPr>
              <w:t xml:space="preserve">Identical verdict + evidence set across repeats</w:t>
            </w:r>
          </w:p>
        </w:tc>
        <w:tc>
          <w:tcPr>
            <w:tcW w:type="dxa" w:w="2440"/>
            <w:tcMar>
              <w:top w:type="dxa" w:w="60"/>
              <w:left w:type="dxa" w:w="100"/>
              <w:bottom w:type="dxa" w:w="60"/>
              <w:right w:type="dxa" w:w="100"/>
            </w:tcMar>
          </w:tcPr>
          <w:p>
            <w:r>
              <w:rPr>
                <w:b w:val="false"/>
                <w:bCs w:val="false"/>
                <w:color w:val="101820"/>
                <w:sz w:val="18"/>
                <w:szCs w:val="18"/>
              </w:rPr>
              <w:t xml:space="preserve">Exact</w:t>
            </w:r>
          </w:p>
        </w:tc>
      </w:tr>
    </w:tbl>
    <w:p>
      <w:pPr>
        <w:spacing w:after="110"/>
      </w:pPr>
      <w:r>
        <w:t xml:space="preserve">Batch mode repeats the harness N times, scores each gate (mean/min/max) and assigns each check a confidence level (HIGH/MEDIUM/LOW) from verdict stability — measured frequency, never model self-report. In validation, batch scoring isolated a single unstable check, the trace named the exact cause, and after the fix every gate passed on every run with every check at 100% stability on a live two-model configuration.</w:t>
      </w:r>
    </w:p>
    <w:p>
      <w:pPr>
        <w:pStyle w:val="Heading1"/>
      </w:pPr>
      <w:r>
        <w:t xml:space="preserve">11. Cloud mapping — Azure AI Foundry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740"/>
      </w:tblGrid>
      <w:tr>
        <w:tc>
          <w:tcPr>
            <w:tcW w:type="dxa" w:w="2100"/>
            <w:shd w:fill="F0F6FA" w:val="clear"/>
            <w:tcMar>
              <w:top w:type="dxa" w:w="60"/>
              <w:left w:type="dxa" w:w="100"/>
              <w:bottom w:type="dxa" w:w="60"/>
              <w:right w:type="dxa" w:w="100"/>
            </w:tcMar>
          </w:tcPr>
          <w:p>
            <w:r>
              <w:rPr>
                <w:b/>
                <w:bCs/>
                <w:color w:val="00699B"/>
                <w:sz w:val="18"/>
                <w:szCs w:val="18"/>
              </w:rPr>
              <w:t xml:space="preserve">Concern</w:t>
            </w:r>
          </w:p>
        </w:tc>
        <w:tc>
          <w:tcPr>
            <w:tcW w:type="dxa" w:w="2800"/>
            <w:shd w:fill="F0F6FA" w:val="clear"/>
            <w:tcMar>
              <w:top w:type="dxa" w:w="60"/>
              <w:left w:type="dxa" w:w="100"/>
              <w:bottom w:type="dxa" w:w="60"/>
              <w:right w:type="dxa" w:w="100"/>
            </w:tcMar>
          </w:tcPr>
          <w:p>
            <w:r>
              <w:rPr>
                <w:b/>
                <w:bCs/>
                <w:color w:val="00699B"/>
                <w:sz w:val="18"/>
                <w:szCs w:val="18"/>
              </w:rPr>
              <w:t xml:space="preserve">Service</w:t>
            </w:r>
          </w:p>
        </w:tc>
        <w:tc>
          <w:tcPr>
            <w:tcW w:type="dxa" w:w="4740"/>
            <w:shd w:fill="F0F6FA" w:val="clear"/>
            <w:tcMar>
              <w:top w:type="dxa" w:w="60"/>
              <w:left w:type="dxa" w:w="100"/>
              <w:bottom w:type="dxa" w:w="60"/>
              <w:right w:type="dxa" w:w="100"/>
            </w:tcMar>
          </w:tcPr>
          <w:p>
            <w:r>
              <w:rPr>
                <w:b/>
                <w:bCs/>
                <w:color w:val="00699B"/>
                <w:sz w:val="18"/>
                <w:szCs w:val="18"/>
              </w:rPr>
              <w:t xml:space="preserve">Role</w:t>
            </w:r>
          </w:p>
        </w:tc>
      </w:tr>
      <w:tr>
        <w:tc>
          <w:tcPr>
            <w:tcW w:type="dxa" w:w="2100"/>
            <w:tcMar>
              <w:top w:type="dxa" w:w="60"/>
              <w:left w:type="dxa" w:w="100"/>
              <w:bottom w:type="dxa" w:w="60"/>
              <w:right w:type="dxa" w:w="100"/>
            </w:tcMar>
          </w:tcPr>
          <w:p>
            <w:r>
              <w:rPr>
                <w:b w:val="false"/>
                <w:bCs w:val="false"/>
                <w:color w:val="101820"/>
                <w:sz w:val="18"/>
                <w:szCs w:val="18"/>
              </w:rPr>
              <w:t xml:space="preserve">Model seats</w:t>
            </w:r>
          </w:p>
        </w:tc>
        <w:tc>
          <w:tcPr>
            <w:tcW w:type="dxa" w:w="2800"/>
            <w:tcMar>
              <w:top w:type="dxa" w:w="60"/>
              <w:left w:type="dxa" w:w="100"/>
              <w:bottom w:type="dxa" w:w="60"/>
              <w:right w:type="dxa" w:w="100"/>
            </w:tcMar>
          </w:tcPr>
          <w:p>
            <w:r>
              <w:rPr>
                <w:b w:val="false"/>
                <w:bCs w:val="false"/>
                <w:color w:val="101820"/>
                <w:sz w:val="18"/>
                <w:szCs w:val="18"/>
              </w:rPr>
              <w:t xml:space="preserve">Foundry project, multiple deployments</w:t>
            </w:r>
          </w:p>
        </w:tc>
        <w:tc>
          <w:tcPr>
            <w:tcW w:type="dxa" w:w="4740"/>
            <w:tcMar>
              <w:top w:type="dxa" w:w="60"/>
              <w:left w:type="dxa" w:w="100"/>
              <w:bottom w:type="dxa" w:w="60"/>
              <w:right w:type="dxa" w:w="100"/>
            </w:tcMar>
          </w:tcPr>
          <w:p>
            <w:r>
              <w:rPr>
                <w:b w:val="false"/>
                <w:bCs w:val="false"/>
                <w:color w:val="101820"/>
                <w:sz w:val="18"/>
                <w:szCs w:val="18"/>
              </w:rPr>
              <w:t xml:space="preserve">Per-seat routing; temperature 0 + pinned seed where permitted; offline stub as terminal fallback</w:t>
            </w:r>
          </w:p>
        </w:tc>
      </w:tr>
      <w:tr>
        <w:tc>
          <w:tcPr>
            <w:tcW w:type="dxa" w:w="2100"/>
            <w:tcMar>
              <w:top w:type="dxa" w:w="60"/>
              <w:left w:type="dxa" w:w="100"/>
              <w:bottom w:type="dxa" w:w="60"/>
              <w:right w:type="dxa" w:w="100"/>
            </w:tcMar>
          </w:tcPr>
          <w:p>
            <w:r>
              <w:rPr>
                <w:b w:val="false"/>
                <w:bCs w:val="false"/>
                <w:color w:val="101820"/>
                <w:sz w:val="18"/>
                <w:szCs w:val="18"/>
              </w:rPr>
              <w:t xml:space="preserve">Knowledge retrieval</w:t>
            </w:r>
          </w:p>
        </w:tc>
        <w:tc>
          <w:tcPr>
            <w:tcW w:type="dxa" w:w="2800"/>
            <w:tcMar>
              <w:top w:type="dxa" w:w="60"/>
              <w:left w:type="dxa" w:w="100"/>
              <w:bottom w:type="dxa" w:w="60"/>
              <w:right w:type="dxa" w:w="100"/>
            </w:tcMar>
          </w:tcPr>
          <w:p>
            <w:r>
              <w:rPr>
                <w:b w:val="false"/>
                <w:bCs w:val="false"/>
                <w:color w:val="101820"/>
                <w:sz w:val="18"/>
                <w:szCs w:val="18"/>
              </w:rPr>
              <w:t xml:space="preserve">Foundry IQ over an AI Search index</w:t>
            </w:r>
          </w:p>
        </w:tc>
        <w:tc>
          <w:tcPr>
            <w:tcW w:type="dxa" w:w="4740"/>
            <w:tcMar>
              <w:top w:type="dxa" w:w="60"/>
              <w:left w:type="dxa" w:w="100"/>
              <w:bottom w:type="dxa" w:w="60"/>
              <w:right w:type="dxa" w:w="100"/>
            </w:tcMar>
          </w:tcPr>
          <w:p>
            <w:r>
              <w:rPr>
                <w:b w:val="false"/>
                <w:bCs w:val="false"/>
                <w:color w:val="101820"/>
                <w:sz w:val="18"/>
                <w:szCs w:val="18"/>
              </w:rPr>
              <w:t xml:space="preserve">Control KB + Golden Library grounding; degrades visibly to a local mirror</w:t>
            </w:r>
          </w:p>
        </w:tc>
      </w:tr>
      <w:tr>
        <w:tc>
          <w:tcPr>
            <w:tcW w:type="dxa" w:w="2100"/>
            <w:tcMar>
              <w:top w:type="dxa" w:w="60"/>
              <w:left w:type="dxa" w:w="100"/>
              <w:bottom w:type="dxa" w:w="60"/>
              <w:right w:type="dxa" w:w="100"/>
            </w:tcMar>
          </w:tcPr>
          <w:p>
            <w:r>
              <w:rPr>
                <w:b w:val="false"/>
                <w:bCs w:val="false"/>
                <w:color w:val="101820"/>
                <w:sz w:val="18"/>
                <w:szCs w:val="18"/>
              </w:rPr>
              <w:t xml:space="preserve">Evidence &amp; ledgers</w:t>
            </w:r>
          </w:p>
        </w:tc>
        <w:tc>
          <w:tcPr>
            <w:tcW w:type="dxa" w:w="2800"/>
            <w:tcMar>
              <w:top w:type="dxa" w:w="60"/>
              <w:left w:type="dxa" w:w="100"/>
              <w:bottom w:type="dxa" w:w="60"/>
              <w:right w:type="dxa" w:w="100"/>
            </w:tcMar>
          </w:tcPr>
          <w:p>
            <w:r>
              <w:rPr>
                <w:b w:val="false"/>
                <w:bCs w:val="false"/>
                <w:color w:val="101820"/>
                <w:sz w:val="18"/>
                <w:szCs w:val="18"/>
              </w:rPr>
              <w:t xml:space="preserve">Blob Storage (immutability-ready)</w:t>
            </w:r>
          </w:p>
        </w:tc>
        <w:tc>
          <w:tcPr>
            <w:tcW w:type="dxa" w:w="4740"/>
            <w:tcMar>
              <w:top w:type="dxa" w:w="60"/>
              <w:left w:type="dxa" w:w="100"/>
              <w:bottom w:type="dxa" w:w="60"/>
              <w:right w:type="dxa" w:w="100"/>
            </w:tcMar>
          </w:tcPr>
          <w:p>
            <w:r>
              <w:rPr>
                <w:b w:val="false"/>
                <w:bCs w:val="false"/>
                <w:color w:val="101820"/>
                <w:sz w:val="18"/>
                <w:szCs w:val="18"/>
              </w:rPr>
              <w:t xml:space="preserve">Content-addressed custody; append-only replayable ledgers; packs; frozen plans</w:t>
            </w:r>
          </w:p>
        </w:tc>
      </w:tr>
      <w:tr>
        <w:tc>
          <w:tcPr>
            <w:tcW w:type="dxa" w:w="2100"/>
            <w:tcMar>
              <w:top w:type="dxa" w:w="60"/>
              <w:left w:type="dxa" w:w="100"/>
              <w:bottom w:type="dxa" w:w="60"/>
              <w:right w:type="dxa" w:w="100"/>
            </w:tcMar>
          </w:tcPr>
          <w:p>
            <w:r>
              <w:rPr>
                <w:b w:val="false"/>
                <w:bCs w:val="false"/>
                <w:color w:val="101820"/>
                <w:sz w:val="18"/>
                <w:szCs w:val="18"/>
              </w:rPr>
              <w:t xml:space="preserve">Run index &amp; HITL queue</w:t>
            </w:r>
          </w:p>
        </w:tc>
        <w:tc>
          <w:tcPr>
            <w:tcW w:type="dxa" w:w="2800"/>
            <w:tcMar>
              <w:top w:type="dxa" w:w="60"/>
              <w:left w:type="dxa" w:w="100"/>
              <w:bottom w:type="dxa" w:w="60"/>
              <w:right w:type="dxa" w:w="100"/>
            </w:tcMar>
          </w:tcPr>
          <w:p>
            <w:r>
              <w:rPr>
                <w:b w:val="false"/>
                <w:bCs w:val="false"/>
                <w:color w:val="101820"/>
                <w:sz w:val="18"/>
                <w:szCs w:val="18"/>
              </w:rPr>
              <w:t xml:space="preserve">Table Storage</w:t>
            </w:r>
          </w:p>
        </w:tc>
        <w:tc>
          <w:tcPr>
            <w:tcW w:type="dxa" w:w="4740"/>
            <w:tcMar>
              <w:top w:type="dxa" w:w="60"/>
              <w:left w:type="dxa" w:w="100"/>
              <w:bottom w:type="dxa" w:w="60"/>
              <w:right w:type="dxa" w:w="100"/>
            </w:tcMar>
          </w:tcPr>
          <w:p>
            <w:r>
              <w:rPr>
                <w:b w:val="false"/>
                <w:bCs w:val="false"/>
                <w:color w:val="101820"/>
                <w:sz w:val="18"/>
                <w:szCs w:val="18"/>
              </w:rPr>
              <w:t xml:space="preserve">Cheap queryable rows</w:t>
            </w:r>
          </w:p>
        </w:tc>
      </w:tr>
      <w:tr>
        <w:tc>
          <w:tcPr>
            <w:tcW w:type="dxa" w:w="2100"/>
            <w:tcMar>
              <w:top w:type="dxa" w:w="60"/>
              <w:left w:type="dxa" w:w="100"/>
              <w:bottom w:type="dxa" w:w="60"/>
              <w:right w:type="dxa" w:w="100"/>
            </w:tcMar>
          </w:tcPr>
          <w:p>
            <w:r>
              <w:rPr>
                <w:b w:val="false"/>
                <w:bCs w:val="false"/>
                <w:color w:val="101820"/>
                <w:sz w:val="18"/>
                <w:szCs w:val="18"/>
              </w:rPr>
              <w:t xml:space="preserve">Agent interoperability</w:t>
            </w:r>
          </w:p>
        </w:tc>
        <w:tc>
          <w:tcPr>
            <w:tcW w:type="dxa" w:w="2800"/>
            <w:tcMar>
              <w:top w:type="dxa" w:w="60"/>
              <w:left w:type="dxa" w:w="100"/>
              <w:bottom w:type="dxa" w:w="60"/>
              <w:right w:type="dxa" w:w="100"/>
            </w:tcMar>
          </w:tcPr>
          <w:p>
            <w:r>
              <w:rPr>
                <w:b w:val="false"/>
                <w:bCs w:val="false"/>
                <w:color w:val="101820"/>
                <w:sz w:val="18"/>
                <w:szCs w:val="18"/>
              </w:rPr>
              <w:t xml:space="preserve">MCP server (stdio / HTTP)</w:t>
            </w:r>
          </w:p>
        </w:tc>
        <w:tc>
          <w:tcPr>
            <w:tcW w:type="dxa" w:w="4740"/>
            <w:tcMar>
              <w:top w:type="dxa" w:w="60"/>
              <w:left w:type="dxa" w:w="100"/>
              <w:bottom w:type="dxa" w:w="60"/>
              <w:right w:type="dxa" w:w="100"/>
            </w:tcMar>
          </w:tcPr>
          <w:p>
            <w:r>
              <w:rPr>
                <w:b w:val="false"/>
                <w:bCs w:val="false"/>
                <w:color w:val="101820"/>
                <w:sz w:val="18"/>
                <w:szCs w:val="18"/>
              </w:rPr>
              <w:t xml:space="preserve">Foundry agents or any MCP client drive IQR as typed tools without bypassing invariants</w:t>
            </w:r>
          </w:p>
        </w:tc>
      </w:tr>
      <w:tr>
        <w:tc>
          <w:tcPr>
            <w:tcW w:type="dxa" w:w="2100"/>
            <w:tcMar>
              <w:top w:type="dxa" w:w="60"/>
              <w:left w:type="dxa" w:w="100"/>
              <w:bottom w:type="dxa" w:w="60"/>
              <w:right w:type="dxa" w:w="100"/>
            </w:tcMar>
          </w:tcPr>
          <w:p>
            <w:r>
              <w:rPr>
                <w:b w:val="false"/>
                <w:bCs w:val="false"/>
                <w:color w:val="101820"/>
                <w:sz w:val="18"/>
                <w:szCs w:val="18"/>
              </w:rPr>
              <w:t xml:space="preserve">Reviewer console</w:t>
            </w:r>
          </w:p>
        </w:tc>
        <w:tc>
          <w:tcPr>
            <w:tcW w:type="dxa" w:w="2800"/>
            <w:tcMar>
              <w:top w:type="dxa" w:w="60"/>
              <w:left w:type="dxa" w:w="100"/>
              <w:bottom w:type="dxa" w:w="60"/>
              <w:right w:type="dxa" w:w="100"/>
            </w:tcMar>
          </w:tcPr>
          <w:p>
            <w:r>
              <w:rPr>
                <w:b w:val="false"/>
                <w:bCs w:val="false"/>
                <w:color w:val="101820"/>
                <w:sz w:val="18"/>
                <w:szCs w:val="18"/>
              </w:rPr>
              <w:t xml:space="preserve">App Service (free tier) + Easy Auth</w:t>
            </w:r>
          </w:p>
        </w:tc>
        <w:tc>
          <w:tcPr>
            <w:tcW w:type="dxa" w:w="4740"/>
            <w:tcMar>
              <w:top w:type="dxa" w:w="60"/>
              <w:left w:type="dxa" w:w="100"/>
              <w:bottom w:type="dxa" w:w="60"/>
              <w:right w:type="dxa" w:w="100"/>
            </w:tcMar>
          </w:tcPr>
          <w:p>
            <w:r>
              <w:rPr>
                <w:b w:val="false"/>
                <w:bCs w:val="false"/>
                <w:color w:val="101820"/>
                <w:sz w:val="18"/>
                <w:szCs w:val="18"/>
              </w:rPr>
              <w:t xml:space="preserve">Intake, live ledger, batch evals, adjudication, learning pass, pack download; anonymous rejected</w:t>
            </w:r>
          </w:p>
        </w:tc>
      </w:tr>
      <w:tr>
        <w:tc>
          <w:tcPr>
            <w:tcW w:type="dxa" w:w="2100"/>
            <w:tcMar>
              <w:top w:type="dxa" w:w="60"/>
              <w:left w:type="dxa" w:w="100"/>
              <w:bottom w:type="dxa" w:w="60"/>
              <w:right w:type="dxa" w:w="100"/>
            </w:tcMar>
          </w:tcPr>
          <w:p>
            <w:r>
              <w:rPr>
                <w:b w:val="false"/>
                <w:bCs w:val="false"/>
                <w:color w:val="101820"/>
                <w:sz w:val="18"/>
                <w:szCs w:val="18"/>
              </w:rPr>
              <w:t xml:space="preserve">Analytics (deferred)</w:t>
            </w:r>
          </w:p>
        </w:tc>
        <w:tc>
          <w:tcPr>
            <w:tcW w:type="dxa" w:w="2800"/>
            <w:tcMar>
              <w:top w:type="dxa" w:w="60"/>
              <w:left w:type="dxa" w:w="100"/>
              <w:bottom w:type="dxa" w:w="60"/>
              <w:right w:type="dxa" w:w="100"/>
            </w:tcMar>
          </w:tcPr>
          <w:p>
            <w:r>
              <w:rPr>
                <w:b w:val="false"/>
                <w:bCs w:val="false"/>
                <w:color w:val="101820"/>
                <w:sz w:val="18"/>
                <w:szCs w:val="18"/>
              </w:rPr>
              <w:t xml:space="preserve">Fabric semantic layer via OneLake shortcuts</w:t>
            </w:r>
          </w:p>
        </w:tc>
        <w:tc>
          <w:tcPr>
            <w:tcW w:type="dxa" w:w="4740"/>
            <w:tcMar>
              <w:top w:type="dxa" w:w="60"/>
              <w:left w:type="dxa" w:w="100"/>
              <w:bottom w:type="dxa" w:w="60"/>
              <w:right w:type="dxa" w:w="100"/>
            </w:tcMar>
          </w:tcPr>
          <w:p>
            <w:r>
              <w:rPr>
                <w:b w:val="false"/>
                <w:bCs w:val="false"/>
                <w:color w:val="101820"/>
                <w:sz w:val="18"/>
                <w:szCs w:val="18"/>
              </w:rPr>
              <w:t xml:space="preserve">Cross-period trend intelligence; pausable to zero cost</w:t>
            </w:r>
          </w:p>
        </w:tc>
      </w:tr>
    </w:tbl>
    <w:p>
      <w:pPr>
        <w:pStyle w:val="Heading1"/>
      </w:pPr>
      <w:r>
        <w:t xml:space="preserve">12. Productionization — from git clone to governed deployment</w:t>
      </w:r>
    </w:p>
    <w:p>
      <w:pPr>
        <w:spacing w:after="110"/>
      </w:pPr>
      <w:r>
        <w:t xml:space="preserve">The repository is the deployable unit: clone, create a virtual environment, install, run the offline suite (green with no keys), configure endpoints, serve. Full step-by-step: docs/MIGRATION.md.</w:t>
      </w:r>
    </w:p>
    <w:p>
      <w:pPr>
        <w:pStyle w:val="ListParagraph"/>
        <w:numPr>
          <w:ilvl w:val="0"/>
          <w:numId w:val="2"/>
        </w:numPr>
        <w:spacing w:after="70"/>
      </w:pPr>
      <w:r>
        <w:t xml:space="preserve">POC (now): platform authentication (Easy Auth) on the console — tenant sign-in required; secrets in a gitignored env file / App Service settings.</w:t>
      </w:r>
    </w:p>
    <w:p>
      <w:pPr>
        <w:pStyle w:val="ListParagraph"/>
        <w:numPr>
          <w:ilvl w:val="0"/>
          <w:numId w:val="2"/>
        </w:numPr>
        <w:spacing w:after="70"/>
      </w:pPr>
      <w:r>
        <w:t xml:space="preserve">Pilot: managed identities replace every key; Key Vault; three roles — Reviewer (run, adjudicate, download), SME/Approver (plan approval, exemplar release), Admin (deployments). The software enforces the same segregation of duties it audits.</w:t>
      </w:r>
    </w:p>
    <w:p>
      <w:pPr>
        <w:pStyle w:val="ListParagraph"/>
        <w:numPr>
          <w:ilvl w:val="0"/>
          <w:numId w:val="2"/>
        </w:numPr>
        <w:spacing w:after="70"/>
      </w:pPr>
      <w:r>
        <w:t xml:space="preserve">Production: private endpoints; WORM immutability on the evidence container; diagnostic logs; the run ledger retained as the platform's own ITGC evidence; per-control graduation reviewed with internal audit.</w:t>
      </w:r>
    </w:p>
    <w:p>
      <w:pPr>
        <w:pStyle w:val="Heading1"/>
      </w:pPr>
      <w:r>
        <w:t xml:space="preserve">13. Roadmap</w:t>
      </w:r>
    </w:p>
    <w:p>
      <w:pPr>
        <w:pStyle w:val="ListParagraph"/>
        <w:numPr>
          <w:ilvl w:val="0"/>
          <w:numId w:val="2"/>
        </w:numPr>
        <w:spacing w:after="70"/>
      </w:pPr>
      <w:r>
        <w:t xml:space="preserve">Shadow (current): runs beside the human reviewer; nothing auto-submits.</w:t>
      </w:r>
    </w:p>
    <w:p>
      <w:pPr>
        <w:pStyle w:val="ListParagraph"/>
        <w:numPr>
          <w:ilvl w:val="0"/>
          <w:numId w:val="2"/>
        </w:numPr>
        <w:spacing w:after="70"/>
      </w:pPr>
      <w:r>
        <w:t xml:space="preserve">Assist: IQR drafts every finding; the human decides each. Gate: measured recall/precision/reproducibility per control.</w:t>
      </w:r>
    </w:p>
    <w:p>
      <w:pPr>
        <w:pStyle w:val="ListParagraph"/>
        <w:numPr>
          <w:ilvl w:val="0"/>
          <w:numId w:val="2"/>
        </w:numPr>
        <w:spacing w:after="70"/>
      </w:pPr>
      <w:r>
        <w:t xml:space="preserve">Primary: IQR decides; humans review exceptions and samples. Per-control gating.</w:t>
      </w:r>
    </w:p>
    <w:p>
      <w:pPr>
        <w:pStyle w:val="Subtle"/>
      </w:pPr>
      <w:r>
        <w:t xml:space="preserve">Grounding: real-corpus validation across three production-shaped controls (3.4M cells, 245 images, six-email sign-off chains, a 184 MB embedded workbook); 58 passing invariant tests; live five-gate batch eval passes on the deployed Foundry model seats. All identifiers generic by intent.</w:t>
      </w:r>
    </w:p>
    <w:sectPr>
      <w:pgSz w:w="12240" w:h="15840" w:orient="portrait"/>
      <w:pgMar w:top="1160" w:right="1300" w:bottom="116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3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01820"/>
      <w:sz w:val="52"/>
      <w:szCs w:val="52"/>
    </w:rPr>
  </w:style>
  <w:style w:type="paragraph" w:styleId="Heading1">
    <w:name w:val="Heading 1"/>
    <w:basedOn w:val="Normal"/>
    <w:next w:val="Normal"/>
    <w:qFormat/>
    <w:pPr>
      <w:spacing w:after="140" w:before="360"/>
    </w:pPr>
    <w:rPr>
      <w:rFonts w:ascii="Arial" w:cs="Arial" w:eastAsia="Arial" w:hAnsi="Arial"/>
      <w:b/>
      <w:bCs/>
      <w:color w:val="00699B"/>
      <w:sz w:val="30"/>
      <w:szCs w:val="30"/>
    </w:rPr>
  </w:style>
  <w:style w:type="paragraph" w:styleId="Heading2">
    <w:name w:val="Heading 2"/>
    <w:basedOn w:val="Normal"/>
    <w:next w:val="Normal"/>
    <w:qFormat/>
    <w:pPr>
      <w:spacing w:after="100" w:before="260"/>
    </w:pPr>
    <w:rPr>
      <w:rFonts w:ascii="Arial" w:cs="Arial" w:eastAsia="Arial" w:hAnsi="Arial"/>
      <w:b/>
      <w:bCs/>
      <w:color w:val="101820"/>
      <w:sz w:val="24"/>
      <w:szCs w:val="24"/>
    </w:rPr>
  </w:style>
  <w:style w:type="paragraph" w:styleId="Subtle">
    <w:name w:val="Subtle"/>
    <w:basedOn w:val="Normal"/>
    <w:rPr>
      <w:rFonts w:ascii="Arial" w:cs="Arial" w:eastAsia="Arial" w:hAnsi="Arial"/>
      <w:i/>
      <w:iCs/>
      <w:color w:val="5A657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2026-08-30T16:02:47.265Z</dcterms:created>
  <dcterms:modified xsi:type="dcterms:W3CDTF">2026-08-30T16:02:47.273Z</dcterms:modified>
</cp:coreProperties>
</file>

<file path=docProps/custom.xml><?xml version="1.0" encoding="utf-8"?>
<Properties xmlns="http://schemas.openxmlformats.org/officeDocument/2006/custom-properties" xmlns:vt="http://schemas.openxmlformats.org/officeDocument/2006/docPropsVTypes"/>
</file>