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0E6E5C"/>
          <w:spacing w:val="30"/>
          <w:sz w:val="16"/>
          <w:szCs w:val="16"/>
        </w:rPr>
        <w:t xml:space="preserve">DEPLOYMENT GUIDE · CLONE ANYWHERE, RUN LOCALLY</w:t>
      </w:r>
    </w:p>
    <w:p>
      <w:pPr>
        <w:spacing w:after="200"/>
      </w:pPr>
      <w:r>
        <w:rPr>
          <w:rFonts w:ascii="Georgia" w:cs="Georgia" w:eastAsia="Georgia" w:hAnsi="Georgia"/>
          <w:b/>
          <w:bCs/>
          <w:color w:val="1C2321"/>
          <w:sz w:val="56"/>
          <w:szCs w:val="56"/>
        </w:rPr>
        <w:t xml:space="preserve">IQR Deployment Guide</w:t>
      </w:r>
    </w:p>
    <w:p>
      <w:pPr>
        <w:spacing w:after="160"/>
      </w:pPr>
      <w:r>
        <w:rPr>
          <w:rFonts w:ascii="Calibri" w:cs="Calibri" w:eastAsia="Calibri" w:hAnsi="Calibri"/>
          <w:i/>
          <w:iCs/>
          <w:color w:val="52605B"/>
          <w:sz w:val="23"/>
          <w:szCs w:val="23"/>
        </w:rPr>
        <w:t xml:space="preserve">From git clone to a working local deployment on any machine (macOS, Linux, Windows): web console, CLI, tests, and eval harness. No admin rights, no cloud services, no telemetry. The only optional network dependency is the LLM endpoint you configure — everything else runs fully offline.</w:t>
      </w:r>
    </w:p>
    <w:p>
      <w:pPr>
        <w:pBdr>
          <w:bottom w:val="double" w:color="DDD9CE" w:sz="6"/>
        </w:pBdr>
        <w:spacing w:after="240"/>
      </w:pPr>
    </w:p>
    <w:p>
      <w:pPr>
        <w:pStyle w:val="Heading1"/>
        <w:spacing w:after="140" w:before="360"/>
      </w:pPr>
      <w:r>
        <w:rPr>
          <w:rFonts w:ascii="Consolas" w:cs="Consolas" w:eastAsia="Consolas" w:hAnsi="Consolas"/>
          <w:b w:val="false"/>
          <w:bCs w:val="false"/>
          <w:color w:val="0E6E5C"/>
          <w:sz w:val="20"/>
          <w:szCs w:val="20"/>
        </w:rPr>
        <w:t xml:space="preserve">1  </w:t>
      </w:r>
      <w:r>
        <w:rPr>
          <w:rFonts w:ascii="Georgia" w:cs="Georgia" w:eastAsia="Georgia" w:hAnsi="Georgia"/>
          <w:b/>
          <w:bCs/>
          <w:color w:val="1C2321"/>
          <w:sz w:val="32"/>
          <w:szCs w:val="32"/>
        </w:rPr>
        <w:t xml:space="preserve">Prerequisites</w:t>
      </w:r>
    </w:p>
    <w:tbl>
      <w:tblPr>
        <w:tblW w:type="dxa" w:w="9360"/>
        <w:tblBorders>
          <w:top w:val="single" w:color="DDD9CE" w:sz="4"/>
          <w:left w:val="single" w:color="DDD9CE" w:sz="4"/>
          <w:bottom w:val="single" w:color="DDD9CE" w:sz="4"/>
          <w:right w:val="single" w:color="DDD9CE" w:sz="4"/>
          <w:insideH w:val="single" w:color="DDD9CE" w:sz="4"/>
          <w:insideV w:val="single" w:color="DDD9CE" w:sz="4"/>
        </w:tblBorders>
      </w:tblPr>
      <w:tblGrid>
        <w:gridCol w:w="1500"/>
        <w:gridCol w:w="900"/>
        <w:gridCol w:w="2400"/>
        <w:gridCol w:w="4560"/>
      </w:tblGrid>
      <w:tr>
        <w:trPr>
          <w:tblHeader/>
        </w:trPr>
        <w:tc>
          <w:tcPr>
            <w:tcW w:type="dxa" w:w="15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REQUIREMENT</w:t>
            </w:r>
          </w:p>
        </w:tc>
        <w:tc>
          <w:tcPr>
            <w:tcW w:type="dxa" w:w="9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VERSION</w:t>
            </w:r>
          </w:p>
        </w:tc>
        <w:tc>
          <w:tcPr>
            <w:tcW w:type="dxa" w:w="24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CHECK</w:t>
            </w:r>
          </w:p>
        </w:tc>
        <w:tc>
          <w:tcPr>
            <w:tcW w:type="dxa" w:w="456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IF MISSING</w:t>
            </w:r>
          </w:p>
        </w:tc>
      </w:tr>
      <w:tr>
        <w:tc>
          <w:tcPr>
            <w:tcW w:type="dxa" w:w="15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Python</w:t>
            </w:r>
          </w:p>
        </w:tc>
        <w:tc>
          <w:tcPr>
            <w:tcW w:type="dxa" w:w="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3.12+</w:t>
            </w:r>
          </w:p>
        </w:tc>
        <w:tc>
          <w:tcPr>
            <w:tcW w:type="dxa" w:w="24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python3 --version</w:t>
            </w:r>
          </w:p>
        </w:tc>
        <w:tc>
          <w:tcPr>
            <w:tcW w:type="dxa" w:w="45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python.org installer (user-mode install is fine)</w:t>
            </w:r>
          </w:p>
        </w:tc>
      </w:tr>
      <w:tr>
        <w:tc>
          <w:tcPr>
            <w:tcW w:type="dxa" w:w="15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Git</w:t>
            </w:r>
          </w:p>
        </w:tc>
        <w:tc>
          <w:tcPr>
            <w:tcW w:type="dxa" w:w="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recent</w:t>
            </w:r>
          </w:p>
        </w:tc>
        <w:tc>
          <w:tcPr>
            <w:tcW w:type="dxa" w:w="24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git --version</w:t>
            </w:r>
          </w:p>
        </w:tc>
        <w:tc>
          <w:tcPr>
            <w:tcW w:type="dxa" w:w="45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git-scm.com</w:t>
            </w:r>
          </w:p>
        </w:tc>
      </w:tr>
      <w:tr>
        <w:tc>
          <w:tcPr>
            <w:tcW w:type="dxa" w:w="15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Tesseract OCR</w:t>
            </w:r>
          </w:p>
        </w:tc>
        <w:tc>
          <w:tcPr>
            <w:tcW w:type="dxa" w:w="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5.x</w:t>
            </w:r>
          </w:p>
        </w:tc>
        <w:tc>
          <w:tcPr>
            <w:tcW w:type="dxa" w:w="24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tesseract --version</w:t>
            </w:r>
          </w:p>
        </w:tc>
        <w:tc>
          <w:tcPr>
            <w:tcW w:type="dxa" w:w="45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macOS: brew install tesseract · Windows: UB-Mannheim installer (no admin) · Ubuntu: apt install tesseract-ocr</w:t>
            </w:r>
          </w:p>
        </w:tc>
      </w:tr>
    </w:tbl>
    <w:p>
      <w:pPr>
        <w:spacing w:after="120" w:line="300"/>
      </w:pPr>
      <w:r>
        <w:rPr>
          <w:rFonts w:ascii="Calibri" w:cs="Calibri" w:eastAsia="Calibri" w:hAnsi="Calibri"/>
          <w:b/>
          <w:bCs/>
          <w:color w:val="1C2321"/>
          <w:sz w:val="22"/>
          <w:szCs w:val="22"/>
        </w:rPr>
        <w:t xml:space="preserve">Corporate networks: </w:t>
      </w:r>
      <w:r>
        <w:rPr>
          <w:rFonts w:ascii="Calibri" w:cs="Calibri" w:eastAsia="Calibri" w:hAnsi="Calibri"/>
          <w:color w:val="1C2321"/>
          <w:sz w:val="22"/>
          <w:szCs w:val="22"/>
        </w:rPr>
        <w:t xml:space="preserve">if pip fails with SSL errors, your proxy intercepts TLS — point pip at the corporate CA bundle once:</w:t>
      </w:r>
    </w:p>
    <w:p>
      <w:pPr>
        <w:shd w:fill="EEECE4" w:val="clear"/>
        <w:spacing w:after="140"/>
        <w:ind w:left="220" w:right="220"/>
      </w:pPr>
      <w:r>
        <w:rPr>
          <w:rFonts w:ascii="Consolas" w:cs="Consolas" w:eastAsia="Consolas" w:hAnsi="Consolas"/>
          <w:color w:val="1C2321"/>
          <w:sz w:val="19"/>
          <w:szCs w:val="19"/>
        </w:rPr>
        <w:t xml:space="preserve">pip config set global.cert /path/to/corporate-ca-bundle.pem</w:t>
      </w:r>
    </w:p>
    <w:p>
      <w:pPr>
        <w:pStyle w:val="Heading1"/>
        <w:spacing w:after="140" w:before="360"/>
      </w:pPr>
      <w:r>
        <w:rPr>
          <w:rFonts w:ascii="Consolas" w:cs="Consolas" w:eastAsia="Consolas" w:hAnsi="Consolas"/>
          <w:b w:val="false"/>
          <w:bCs w:val="false"/>
          <w:color w:val="0E6E5C"/>
          <w:sz w:val="20"/>
          <w:szCs w:val="20"/>
        </w:rPr>
        <w:t xml:space="preserve">2  </w:t>
      </w:r>
      <w:r>
        <w:rPr>
          <w:rFonts w:ascii="Georgia" w:cs="Georgia" w:eastAsia="Georgia" w:hAnsi="Georgia"/>
          <w:b/>
          <w:bCs/>
          <w:color w:val="1C2321"/>
          <w:sz w:val="32"/>
          <w:szCs w:val="32"/>
        </w:rPr>
        <w:t xml:space="preserve">Install</w:t>
      </w:r>
    </w:p>
    <w:p>
      <w:pPr>
        <w:shd w:fill="EEECE4" w:val="clear"/>
        <w:spacing w:after="0"/>
        <w:ind w:left="220" w:right="220"/>
      </w:pPr>
      <w:r>
        <w:rPr>
          <w:rFonts w:ascii="Consolas" w:cs="Consolas" w:eastAsia="Consolas" w:hAnsi="Consolas"/>
          <w:color w:val="1C2321"/>
          <w:sz w:val="19"/>
          <w:szCs w:val="19"/>
        </w:rPr>
        <w:t xml:space="preserve">git clone &lt;repo-url&gt; IQR &amp;&amp; cd IQR</w:t>
      </w:r>
    </w:p>
    <w:p>
      <w:pPr>
        <w:shd w:fill="EEECE4" w:val="clear"/>
        <w:spacing w:after="0"/>
        <w:ind w:left="220" w:right="220"/>
      </w:pPr>
      <w:r>
        <w:rPr>
          <w:rFonts w:ascii="Consolas" w:cs="Consolas" w:eastAsia="Consolas" w:hAnsi="Consolas"/>
          <w:color w:val="1C2321"/>
          <w:sz w:val="19"/>
          <w:szCs w:val="19"/>
        </w:rPr>
        <w:t xml:space="preserve">python3 -m venv .venv</w:t>
      </w:r>
    </w:p>
    <w:p>
      <w:pPr>
        <w:shd w:fill="EEECE4" w:val="clear"/>
        <w:spacing w:after="140"/>
        <w:ind w:left="220" w:right="220"/>
      </w:pPr>
      <w:r>
        <w:rPr>
          <w:rFonts w:ascii="Consolas" w:cs="Consolas" w:eastAsia="Consolas" w:hAnsi="Consolas"/>
          <w:color w:val="1C2321"/>
          <w:sz w:val="19"/>
          <w:szCs w:val="19"/>
        </w:rPr>
        <w:t xml:space="preserve">.venv/bin/pip install -e .    # Windows: .venv\Scripts\pip install -e .</w:t>
      </w:r>
    </w:p>
    <w:p>
      <w:pPr>
        <w:spacing w:after="120" w:line="300"/>
      </w:pPr>
      <w:r>
        <w:rPr>
          <w:rFonts w:ascii="Calibri" w:cs="Calibri" w:eastAsia="Calibri" w:hAnsi="Calibri"/>
          <w:color w:val="1C2321"/>
          <w:sz w:val="22"/>
          <w:szCs w:val="22"/>
        </w:rPr>
        <w:t xml:space="preserve">Everything installs into the project's own virtualenv. Nothing touches the system Python.</w:t>
      </w:r>
    </w:p>
    <w:p>
      <w:pPr>
        <w:pStyle w:val="Heading1"/>
        <w:spacing w:after="140" w:before="360"/>
      </w:pPr>
      <w:r>
        <w:rPr>
          <w:rFonts w:ascii="Consolas" w:cs="Consolas" w:eastAsia="Consolas" w:hAnsi="Consolas"/>
          <w:b w:val="false"/>
          <w:bCs w:val="false"/>
          <w:color w:val="0E6E5C"/>
          <w:sz w:val="20"/>
          <w:szCs w:val="20"/>
        </w:rPr>
        <w:t xml:space="preserve">3  </w:t>
      </w:r>
      <w:r>
        <w:rPr>
          <w:rFonts w:ascii="Georgia" w:cs="Georgia" w:eastAsia="Georgia" w:hAnsi="Georgia"/>
          <w:b/>
          <w:bCs/>
          <w:color w:val="1C2321"/>
          <w:sz w:val="32"/>
          <w:szCs w:val="32"/>
        </w:rPr>
        <w:t xml:space="preserve">Offline smoke test — before any keys</w:t>
      </w:r>
    </w:p>
    <w:p>
      <w:pPr>
        <w:spacing w:after="120" w:line="300"/>
      </w:pPr>
      <w:r>
        <w:rPr>
          <w:rFonts w:ascii="Calibri" w:cs="Calibri" w:eastAsia="Calibri" w:hAnsi="Calibri"/>
          <w:color w:val="1C2321"/>
          <w:sz w:val="22"/>
          <w:szCs w:val="22"/>
        </w:rPr>
        <w:t xml:space="preserve">The platform must prove itself with zero secrets and zero network:</w:t>
      </w:r>
    </w:p>
    <w:p>
      <w:pPr>
        <w:shd w:fill="EEECE4" w:val="clear"/>
        <w:spacing w:after="0"/>
        <w:ind w:left="220" w:right="220"/>
      </w:pPr>
      <w:r>
        <w:rPr>
          <w:rFonts w:ascii="Consolas" w:cs="Consolas" w:eastAsia="Consolas" w:hAnsi="Consolas"/>
          <w:color w:val="1C2321"/>
          <w:sz w:val="19"/>
          <w:szCs w:val="19"/>
        </w:rPr>
        <w:t xml:space="preserve">.venv/bin/pytest -q                  # full suite must pass</w:t>
      </w:r>
    </w:p>
    <w:p>
      <w:pPr>
        <w:shd w:fill="EEECE4" w:val="clear"/>
        <w:spacing w:after="140"/>
        <w:ind w:left="220" w:right="220"/>
      </w:pPr>
      <w:r>
        <w:rPr>
          <w:rFonts w:ascii="Consolas" w:cs="Consolas" w:eastAsia="Consolas" w:hAnsi="Consolas"/>
          <w:color w:val="1C2321"/>
          <w:sz w:val="19"/>
          <w:szCs w:val="19"/>
        </w:rPr>
        <w:t xml:space="preserve">.venv/bin/python -m iqr.cli eval     # five gate metrics, all green</w:t>
      </w:r>
    </w:p>
    <w:p>
      <w:pPr>
        <w:spacing w:after="120" w:line="300"/>
      </w:pPr>
      <w:r>
        <w:rPr>
          <w:rFonts w:ascii="Calibri" w:cs="Calibri" w:eastAsia="Calibri" w:hAnsi="Calibri"/>
          <w:color w:val="1C2321"/>
          <w:sz w:val="22"/>
          <w:szCs w:val="22"/>
        </w:rPr>
        <w:t xml:space="preserve">If both are green, the machine is good. The stub model answers every agent decision deterministically — this is also the permanent fallback, so an LLM outage never blocks a close.</w:t>
      </w:r>
    </w:p>
    <w:p>
      <w:pPr>
        <w:pStyle w:val="Heading1"/>
        <w:spacing w:after="140" w:before="360"/>
      </w:pPr>
      <w:r>
        <w:rPr>
          <w:rFonts w:ascii="Consolas" w:cs="Consolas" w:eastAsia="Consolas" w:hAnsi="Consolas"/>
          <w:b w:val="false"/>
          <w:bCs w:val="false"/>
          <w:color w:val="0E6E5C"/>
          <w:sz w:val="20"/>
          <w:szCs w:val="20"/>
        </w:rPr>
        <w:t xml:space="preserve">4  </w:t>
      </w:r>
      <w:r>
        <w:rPr>
          <w:rFonts w:ascii="Georgia" w:cs="Georgia" w:eastAsia="Georgia" w:hAnsi="Georgia"/>
          <w:b/>
          <w:bCs/>
          <w:color w:val="1C2321"/>
          <w:sz w:val="32"/>
          <w:szCs w:val="32"/>
        </w:rPr>
        <w:t xml:space="preserve">Configure the model seat</w:t>
      </w:r>
    </w:p>
    <w:p>
      <w:pPr>
        <w:shd w:fill="EEECE4" w:val="clear"/>
        <w:spacing w:after="140"/>
        <w:ind w:left="220" w:right="220"/>
      </w:pPr>
      <w:r>
        <w:rPr>
          <w:rFonts w:ascii="Consolas" w:cs="Consolas" w:eastAsia="Consolas" w:hAnsi="Consolas"/>
          <w:color w:val="1C2321"/>
          <w:sz w:val="19"/>
          <w:szCs w:val="19"/>
        </w:rPr>
        <w:t xml:space="preserve">cp .env.example .env    # then edit .env</w:t>
      </w:r>
    </w:p>
    <w:tbl>
      <w:tblPr>
        <w:tblW w:type="dxa" w:w="9360"/>
        <w:tblBorders>
          <w:top w:val="single" w:color="DDD9CE" w:sz="4"/>
          <w:left w:val="single" w:color="DDD9CE" w:sz="4"/>
          <w:bottom w:val="single" w:color="DDD9CE" w:sz="4"/>
          <w:right w:val="single" w:color="DDD9CE" w:sz="4"/>
          <w:insideH w:val="single" w:color="DDD9CE" w:sz="4"/>
          <w:insideV w:val="single" w:color="DDD9CE" w:sz="4"/>
        </w:tblBorders>
      </w:tblPr>
      <w:tblGrid>
        <w:gridCol w:w="3100"/>
        <w:gridCol w:w="6260"/>
      </w:tblGrid>
      <w:tr>
        <w:trPr>
          <w:tblHeader/>
        </w:trPr>
        <w:tc>
          <w:tcPr>
            <w:tcW w:type="dxa" w:w="31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VARIABLE</w:t>
            </w:r>
          </w:p>
        </w:tc>
        <w:tc>
          <w:tcPr>
            <w:tcW w:type="dxa" w:w="626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MEANING</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IQR_MODEL</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stub (offline, default) · davinci (require endpoint) · auto (try endpoints, fall back to stub)</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DAVINCI_API_URL / _KEY</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Your approved OpenAI-compatible chat endpoint (any gateway speaking /v1/chat/completions)</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IQR_SECONDARY_API_URL / _KEY</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Optional second endpoint, same wire format</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ANTHROPIC_API_KEY</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Optional: lets a lab/dev machine use Claude on the agent seats</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IQR_STUB_FALLBACK</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Keep 1 so the deterministic stub catches runs when every endpoint is down</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IQR_STREAM_THRESHOLD</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Workbooks larger than this many bytes stream read-only (default 60000000; lower on low-RAM machines)</w:t>
            </w:r>
          </w:p>
        </w:tc>
      </w:tr>
      <w:tr>
        <w:tc>
          <w:tcPr>
            <w:tcW w:type="dxa" w:w="31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IQR_MAX_CELLS_PER_FILE</w:t>
            </w:r>
          </w:p>
        </w:tc>
        <w:tc>
          <w:tcPr>
            <w:tcW w:type="dxa" w:w="6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Per-workbook cell cap with explicit truncation sentinel (default 4000000)</w:t>
            </w:r>
          </w:p>
        </w:tc>
      </w:tr>
    </w:tbl>
    <w:p>
      <w:pPr>
        <w:spacing w:after="120" w:line="300"/>
      </w:pPr>
      <w:r>
        <w:rPr>
          <w:rFonts w:ascii="Calibri" w:cs="Calibri" w:eastAsia="Calibri" w:hAnsi="Calibri"/>
          <w:b/>
          <w:bCs/>
          <w:color w:val="1C2321"/>
          <w:sz w:val="22"/>
          <w:szCs w:val="22"/>
        </w:rPr>
        <w:t xml:space="preserve">Never commit .env</w:t>
      </w:r>
      <w:r>
        <w:rPr>
          <w:rFonts w:ascii="Calibri" w:cs="Calibri" w:eastAsia="Calibri" w:hAnsi="Calibri"/>
          <w:color w:val="1C2321"/>
          <w:sz w:val="22"/>
          <w:szCs w:val="22"/>
        </w:rPr>
        <w:t xml:space="preserve"> — it is gitignored. The template must contain no real keys. Verify connectivity and see which backend answers:</w:t>
      </w:r>
    </w:p>
    <w:p>
      <w:pPr>
        <w:shd w:fill="EEECE4" w:val="clear"/>
        <w:spacing w:after="140"/>
        <w:ind w:left="220" w:right="220"/>
      </w:pPr>
      <w:r>
        <w:rPr>
          <w:rFonts w:ascii="Consolas" w:cs="Consolas" w:eastAsia="Consolas" w:hAnsi="Consolas"/>
          <w:color w:val="1C2321"/>
          <w:sz w:val="19"/>
          <w:szCs w:val="19"/>
        </w:rPr>
        <w:t xml:space="preserve">.venv/bin/python -m iqr.cli testmodel</w:t>
      </w:r>
    </w:p>
    <w:p>
      <w:pPr>
        <w:spacing w:after="120" w:line="300"/>
      </w:pPr>
      <w:r>
        <w:rPr>
          <w:rFonts w:ascii="Calibri" w:cs="Calibri" w:eastAsia="Calibri" w:hAnsi="Calibri"/>
          <w:color w:val="1C2321"/>
          <w:sz w:val="22"/>
          <w:szCs w:val="22"/>
        </w:rPr>
        <w:t xml:space="preserve">The run ledger records which backend answered every call, so runs are attributable to a model version.</w:t>
      </w:r>
    </w:p>
    <w:p>
      <w:r>
        <w:br w:type="page"/>
      </w:r>
    </w:p>
    <w:p>
      <w:pPr>
        <w:pStyle w:val="Heading1"/>
        <w:spacing w:after="140" w:before="360"/>
      </w:pPr>
      <w:r>
        <w:rPr>
          <w:rFonts w:ascii="Consolas" w:cs="Consolas" w:eastAsia="Consolas" w:hAnsi="Consolas"/>
          <w:b w:val="false"/>
          <w:bCs w:val="false"/>
          <w:color w:val="0E6E5C"/>
          <w:sz w:val="20"/>
          <w:szCs w:val="20"/>
        </w:rPr>
        <w:t xml:space="preserve">5  </w:t>
      </w:r>
      <w:r>
        <w:rPr>
          <w:rFonts w:ascii="Georgia" w:cs="Georgia" w:eastAsia="Georgia" w:hAnsi="Georgia"/>
          <w:b/>
          <w:bCs/>
          <w:color w:val="1C2321"/>
          <w:sz w:val="32"/>
          <w:szCs w:val="32"/>
        </w:rPr>
        <w:t xml:space="preserve">Start the console (the UI)</w:t>
      </w:r>
    </w:p>
    <w:p>
      <w:pPr>
        <w:shd w:fill="EEECE4" w:val="clear"/>
        <w:spacing w:after="140"/>
        <w:ind w:left="220" w:right="220"/>
      </w:pPr>
      <w:r>
        <w:rPr>
          <w:rFonts w:ascii="Consolas" w:cs="Consolas" w:eastAsia="Consolas" w:hAnsi="Consolas"/>
          <w:color w:val="1C2321"/>
          <w:sz w:val="19"/>
          <w:szCs w:val="19"/>
        </w:rPr>
        <w:t xml:space="preserve">.venv/bin/python -m iqr.cli serve</w:t>
      </w:r>
    </w:p>
    <w:p>
      <w:pPr>
        <w:spacing w:after="120" w:line="300"/>
      </w:pPr>
      <w:r>
        <w:rPr>
          <w:rFonts w:ascii="Calibri" w:cs="Calibri" w:eastAsia="Calibri" w:hAnsi="Calibri"/>
          <w:b/>
          <w:bCs/>
          <w:color w:val="1C2321"/>
          <w:sz w:val="22"/>
          <w:szCs w:val="22"/>
        </w:rPr>
        <w:t xml:space="preserve">Open http://127.0.0.1:8400. </w:t>
      </w:r>
      <w:r>
        <w:rPr>
          <w:rFonts w:ascii="Calibri" w:cs="Calibri" w:eastAsia="Calibri" w:hAnsi="Calibri"/>
          <w:color w:val="1C2321"/>
          <w:sz w:val="22"/>
          <w:szCs w:val="22"/>
        </w:rPr>
        <w:t xml:space="preserve">The console is a single static page over the local API — no build step, no Node, no external assets. It binds loopback only: nothing is reachable from the network. From VS Code instead: open the repo folder and press F5 (launch configurations exist for the console, a real-package CLI run, and the eval harness).</w:t>
      </w:r>
    </w:p>
    <w:p>
      <w:pPr>
        <w:spacing w:after="120" w:line="300"/>
      </w:pPr>
      <w:r>
        <w:rPr>
          <w:rFonts w:ascii="Calibri" w:cs="Calibri" w:eastAsia="Calibri" w:hAnsi="Calibri"/>
          <w:b/>
          <w:bCs/>
          <w:color w:val="1C2321"/>
          <w:sz w:val="22"/>
          <w:szCs w:val="22"/>
        </w:rPr>
        <w:t xml:space="preserve">What the console gives a reviewer:</w:t>
      </w:r>
    </w:p>
    <w:p>
      <w:pPr>
        <w:pStyle w:val="ListParagraph"/>
        <w:numPr>
          <w:ilvl w:val="0"/>
          <w:numId w:val="2"/>
        </w:numPr>
        <w:spacing w:after="80" w:line="280"/>
      </w:pPr>
      <w:r>
        <w:rPr>
          <w:rFonts w:ascii="Calibri" w:cs="Calibri" w:eastAsia="Calibri" w:hAnsi="Calibri"/>
          <w:b/>
          <w:bCs/>
          <w:color w:val="1C2321"/>
          <w:sz w:val="22"/>
          <w:szCs w:val="22"/>
        </w:rPr>
        <w:t xml:space="preserve">Run a control</w:t>
      </w:r>
      <w:r>
        <w:rPr>
          <w:rFonts w:ascii="Calibri" w:cs="Calibri" w:eastAsia="Calibri" w:hAnsi="Calibri"/>
          <w:color w:val="1C2321"/>
          <w:sz w:val="21"/>
          <w:szCs w:val="21"/>
        </w:rPr>
        <w:t xml:space="preserve"> — cards for each approved plan. Selecting one shows exactly which evidence the plan expects (required vs optional, with the name patterns the matcher uses) and what is excluded from scope. This is the answer to “what do I upload?”</w:t>
      </w:r>
    </w:p>
    <w:p>
      <w:pPr>
        <w:pStyle w:val="ListParagraph"/>
        <w:numPr>
          <w:ilvl w:val="0"/>
          <w:numId w:val="2"/>
        </w:numPr>
        <w:spacing w:after="80" w:line="280"/>
      </w:pPr>
      <w:r>
        <w:rPr>
          <w:rFonts w:ascii="Calibri" w:cs="Calibri" w:eastAsia="Calibri" w:hAnsi="Calibri"/>
          <w:b/>
          <w:bCs/>
          <w:color w:val="1C2321"/>
          <w:sz w:val="22"/>
          <w:szCs w:val="22"/>
        </w:rPr>
        <w:t xml:space="preserve">Provide evidence</w:t>
      </w:r>
      <w:r>
        <w:rPr>
          <w:rFonts w:ascii="Calibri" w:cs="Calibri" w:eastAsia="Calibri" w:hAnsi="Calibri"/>
          <w:color w:val="1C2321"/>
          <w:sz w:val="21"/>
          <w:szCs w:val="21"/>
        </w:rPr>
        <w:t xml:space="preserve"> — drag-and-drop files (stored under data/input/uploads/) or paste the path of a folder already on the machine.</w:t>
      </w:r>
    </w:p>
    <w:p>
      <w:pPr>
        <w:pStyle w:val="ListParagraph"/>
        <w:numPr>
          <w:ilvl w:val="0"/>
          <w:numId w:val="2"/>
        </w:numPr>
        <w:spacing w:after="80" w:line="280"/>
      </w:pPr>
      <w:r>
        <w:rPr>
          <w:rFonts w:ascii="Calibri" w:cs="Calibri" w:eastAsia="Calibri" w:hAnsi="Calibri"/>
          <w:b/>
          <w:bCs/>
          <w:color w:val="1C2321"/>
          <w:sz w:val="22"/>
          <w:szCs w:val="22"/>
        </w:rPr>
        <w:t xml:space="preserve">Live run</w:t>
      </w:r>
      <w:r>
        <w:rPr>
          <w:rFonts w:ascii="Calibri" w:cs="Calibri" w:eastAsia="Calibri" w:hAnsi="Calibri"/>
          <w:color w:val="1C2321"/>
          <w:sz w:val="21"/>
          <w:szCs w:val="21"/>
        </w:rPr>
        <w:t xml:space="preserve"> — ledger events stream into the page: ingest counts, evidence matching, sentinel anomalies, every tool call, verifier agreement, citation gate, final verdict.</w:t>
      </w:r>
    </w:p>
    <w:p>
      <w:pPr>
        <w:pStyle w:val="ListParagraph"/>
        <w:numPr>
          <w:ilvl w:val="0"/>
          <w:numId w:val="2"/>
        </w:numPr>
        <w:spacing w:after="80" w:line="280"/>
      </w:pPr>
      <w:r>
        <w:rPr>
          <w:rFonts w:ascii="Calibri" w:cs="Calibri" w:eastAsia="Calibri" w:hAnsi="Calibri"/>
          <w:b/>
          <w:bCs/>
          <w:color w:val="1C2321"/>
          <w:sz w:val="22"/>
          <w:szCs w:val="22"/>
        </w:rPr>
        <w:t xml:space="preserve">Verdict</w:t>
      </w:r>
      <w:r>
        <w:rPr>
          <w:rFonts w:ascii="Calibri" w:cs="Calibri" w:eastAsia="Calibri" w:hAnsi="Calibri"/>
          <w:color w:val="1C2321"/>
          <w:sz w:val="21"/>
          <w:szCs w:val="21"/>
        </w:rPr>
        <w:t xml:space="preserve"> — findings with verdict chips and cell/line citations, gaps, exceptions, and one-click download of the audit-ready pack (.zip).</w:t>
      </w:r>
    </w:p>
    <w:p>
      <w:pPr>
        <w:pStyle w:val="ListParagraph"/>
        <w:numPr>
          <w:ilvl w:val="0"/>
          <w:numId w:val="2"/>
        </w:numPr>
        <w:spacing w:after="80" w:line="280"/>
      </w:pPr>
      <w:r>
        <w:rPr>
          <w:rFonts w:ascii="Calibri" w:cs="Calibri" w:eastAsia="Calibri" w:hAnsi="Calibri"/>
          <w:b/>
          <w:bCs/>
          <w:color w:val="1C2321"/>
          <w:sz w:val="22"/>
          <w:szCs w:val="22"/>
        </w:rPr>
        <w:t xml:space="preserve">Evaluation</w:t>
      </w:r>
      <w:r>
        <w:rPr>
          <w:rFonts w:ascii="Calibri" w:cs="Calibri" w:eastAsia="Calibri" w:hAnsi="Calibri"/>
          <w:color w:val="1C2321"/>
          <w:sz w:val="21"/>
          <w:szCs w:val="21"/>
        </w:rPr>
        <w:t xml:space="preserve"> — run the five-gate harness from the browser.</w:t>
      </w:r>
    </w:p>
    <w:p>
      <w:pPr>
        <w:pStyle w:val="ListParagraph"/>
        <w:numPr>
          <w:ilvl w:val="0"/>
          <w:numId w:val="2"/>
        </w:numPr>
        <w:spacing w:after="80" w:line="280"/>
      </w:pPr>
      <w:r>
        <w:rPr>
          <w:rFonts w:ascii="Calibri" w:cs="Calibri" w:eastAsia="Calibri" w:hAnsi="Calibri"/>
          <w:b/>
          <w:bCs/>
          <w:color w:val="1C2321"/>
          <w:sz w:val="22"/>
          <w:szCs w:val="22"/>
        </w:rPr>
        <w:t xml:space="preserve">Governance</w:t>
      </w:r>
      <w:r>
        <w:rPr>
          <w:rFonts w:ascii="Calibri" w:cs="Calibri" w:eastAsia="Calibri" w:hAnsi="Calibri"/>
          <w:color w:val="1C2321"/>
          <w:sz w:val="21"/>
          <w:szCs w:val="21"/>
        </w:rPr>
        <w:t xml:space="preserve"> — exception queue (feeds the Golden Library) and the approved-plan register.</w:t>
      </w:r>
    </w:p>
    <w:p>
      <w:pPr>
        <w:pStyle w:val="Heading1"/>
        <w:spacing w:after="140" w:before="360"/>
      </w:pPr>
      <w:r>
        <w:rPr>
          <w:rFonts w:ascii="Consolas" w:cs="Consolas" w:eastAsia="Consolas" w:hAnsi="Consolas"/>
          <w:b w:val="false"/>
          <w:bCs w:val="false"/>
          <w:color w:val="0E6E5C"/>
          <w:sz w:val="20"/>
          <w:szCs w:val="20"/>
        </w:rPr>
        <w:t xml:space="preserve">6  </w:t>
      </w:r>
      <w:r>
        <w:rPr>
          <w:rFonts w:ascii="Georgia" w:cs="Georgia" w:eastAsia="Georgia" w:hAnsi="Georgia"/>
          <w:b/>
          <w:bCs/>
          <w:color w:val="1C2321"/>
          <w:sz w:val="32"/>
          <w:szCs w:val="32"/>
        </w:rPr>
        <w:t xml:space="preserve">CLI reference</w:t>
      </w:r>
    </w:p>
    <w:p>
      <w:pPr>
        <w:shd w:fill="EEECE4" w:val="clear"/>
        <w:spacing w:after="0"/>
        <w:ind w:left="220" w:right="220"/>
      </w:pPr>
      <w:r>
        <w:rPr>
          <w:rFonts w:ascii="Consolas" w:cs="Consolas" w:eastAsia="Consolas" w:hAnsi="Consolas"/>
          <w:color w:val="1C2321"/>
          <w:sz w:val="19"/>
          <w:szCs w:val="19"/>
        </w:rPr>
        <w:t xml:space="preserve">python -m iqr.cli compile &lt;404.docx&gt; &lt;control_id&gt; &lt;frequency&gt;</w:t>
      </w:r>
    </w:p>
    <w:p>
      <w:pPr>
        <w:shd w:fill="EEECE4" w:val="clear"/>
        <w:spacing w:after="0"/>
        <w:ind w:left="220" w:right="220"/>
      </w:pPr>
      <w:r>
        <w:rPr>
          <w:rFonts w:ascii="Consolas" w:cs="Consolas" w:eastAsia="Consolas" w:hAnsi="Consolas"/>
          <w:color w:val="1C2321"/>
          <w:sz w:val="19"/>
          <w:szCs w:val="19"/>
        </w:rPr>
        <w:t xml:space="preserve">python -m iqr.cli approve &lt;control_id&gt; &lt;sme-name&gt;</w:t>
      </w:r>
    </w:p>
    <w:p>
      <w:pPr>
        <w:shd w:fill="EEECE4" w:val="clear"/>
        <w:spacing w:after="0"/>
        <w:ind w:left="220" w:right="220"/>
      </w:pPr>
      <w:r>
        <w:rPr>
          <w:rFonts w:ascii="Consolas" w:cs="Consolas" w:eastAsia="Consolas" w:hAnsi="Consolas"/>
          <w:color w:val="1C2321"/>
          <w:sz w:val="19"/>
          <w:szCs w:val="19"/>
        </w:rPr>
        <w:t xml:space="preserve">python -m iqr.cli run &lt;control_id&gt; &lt;package_dir&gt;</w:t>
      </w:r>
    </w:p>
    <w:p>
      <w:pPr>
        <w:shd w:fill="EEECE4" w:val="clear"/>
        <w:spacing w:after="0"/>
        <w:ind w:left="220" w:right="220"/>
      </w:pPr>
      <w:r>
        <w:rPr>
          <w:rFonts w:ascii="Consolas" w:cs="Consolas" w:eastAsia="Consolas" w:hAnsi="Consolas"/>
          <w:color w:val="1C2321"/>
          <w:sz w:val="19"/>
          <w:szCs w:val="19"/>
        </w:rPr>
        <w:t xml:space="preserve">python -m iqr.cli explain &lt;run_id&gt;      # replay the ledger</w:t>
      </w:r>
    </w:p>
    <w:p>
      <w:pPr>
        <w:shd w:fill="EEECE4" w:val="clear"/>
        <w:spacing w:after="0"/>
        <w:ind w:left="220" w:right="220"/>
      </w:pPr>
      <w:r>
        <w:rPr>
          <w:rFonts w:ascii="Consolas" w:cs="Consolas" w:eastAsia="Consolas" w:hAnsi="Consolas"/>
          <w:color w:val="1C2321"/>
          <w:sz w:val="19"/>
          <w:szCs w:val="19"/>
        </w:rPr>
        <w:t xml:space="preserve">python -m iqr.cli eval                  # five gate metrics</w:t>
      </w:r>
    </w:p>
    <w:p>
      <w:pPr>
        <w:shd w:fill="EEECE4" w:val="clear"/>
        <w:spacing w:after="0"/>
        <w:ind w:left="220" w:right="220"/>
      </w:pPr>
      <w:r>
        <w:rPr>
          <w:rFonts w:ascii="Consolas" w:cs="Consolas" w:eastAsia="Consolas" w:hAnsi="Consolas"/>
          <w:color w:val="1C2321"/>
          <w:sz w:val="19"/>
          <w:szCs w:val="19"/>
        </w:rPr>
        <w:t xml:space="preserve">python -m iqr.cli testmodel             # model chain probe</w:t>
      </w:r>
    </w:p>
    <w:p>
      <w:pPr>
        <w:shd w:fill="EEECE4" w:val="clear"/>
        <w:spacing w:after="140"/>
        <w:ind w:left="220" w:right="220"/>
      </w:pPr>
      <w:r>
        <w:rPr>
          <w:rFonts w:ascii="Consolas" w:cs="Consolas" w:eastAsia="Consolas" w:hAnsi="Consolas"/>
          <w:color w:val="1C2321"/>
          <w:sz w:val="19"/>
          <w:szCs w:val="19"/>
        </w:rPr>
        <w:t xml:space="preserve">python -m iqr.cli serve                 # console on 127.0.0.1:8400</w:t>
      </w:r>
    </w:p>
    <w:p>
      <w:pPr>
        <w:pStyle w:val="Heading1"/>
        <w:spacing w:after="140" w:before="360"/>
      </w:pPr>
      <w:r>
        <w:rPr>
          <w:rFonts w:ascii="Consolas" w:cs="Consolas" w:eastAsia="Consolas" w:hAnsi="Consolas"/>
          <w:b w:val="false"/>
          <w:bCs w:val="false"/>
          <w:color w:val="0E6E5C"/>
          <w:sz w:val="20"/>
          <w:szCs w:val="20"/>
        </w:rPr>
        <w:t xml:space="preserve">7  </w:t>
      </w:r>
      <w:r>
        <w:rPr>
          <w:rFonts w:ascii="Georgia" w:cs="Georgia" w:eastAsia="Georgia" w:hAnsi="Georgia"/>
          <w:b/>
          <w:bCs/>
          <w:color w:val="1C2321"/>
          <w:sz w:val="32"/>
          <w:szCs w:val="32"/>
        </w:rPr>
        <w:t xml:space="preserve">Directory layout after a run</w:t>
      </w:r>
    </w:p>
    <w:p>
      <w:pPr>
        <w:shd w:fill="EEECE4" w:val="clear"/>
        <w:spacing w:after="0"/>
        <w:ind w:left="220" w:right="220"/>
      </w:pPr>
      <w:r>
        <w:rPr>
          <w:rFonts w:ascii="Consolas" w:cs="Consolas" w:eastAsia="Consolas" w:hAnsi="Consolas"/>
          <w:color w:val="1C2321"/>
          <w:sz w:val="19"/>
          <w:szCs w:val="19"/>
        </w:rPr>
        <w:t xml:space="preserve">data/</w:t>
      </w:r>
    </w:p>
    <w:p>
      <w:pPr>
        <w:shd w:fill="EEECE4" w:val="clear"/>
        <w:spacing w:after="0"/>
        <w:ind w:left="220" w:right="220"/>
      </w:pPr>
      <w:r>
        <w:rPr>
          <w:rFonts w:ascii="Consolas" w:cs="Consolas" w:eastAsia="Consolas" w:hAnsi="Consolas"/>
          <w:color w:val="1C2321"/>
          <w:sz w:val="19"/>
          <w:szCs w:val="19"/>
        </w:rPr>
        <w:t xml:space="preserve">  input/uploads/         packages uploaded through the console</w:t>
      </w:r>
    </w:p>
    <w:p>
      <w:pPr>
        <w:shd w:fill="EEECE4" w:val="clear"/>
        <w:spacing w:after="0"/>
        <w:ind w:left="220" w:right="220"/>
      </w:pPr>
      <w:r>
        <w:rPr>
          <w:rFonts w:ascii="Consolas" w:cs="Consolas" w:eastAsia="Consolas" w:hAnsi="Consolas"/>
          <w:color w:val="1C2321"/>
          <w:sz w:val="19"/>
          <w:szCs w:val="19"/>
        </w:rPr>
        <w:t xml:space="preserve">  evidence_store/        immutable SHA-256-named blobs (custody)</w:t>
      </w:r>
    </w:p>
    <w:p>
      <w:pPr>
        <w:shd w:fill="EEECE4" w:val="clear"/>
        <w:spacing w:after="0"/>
        <w:ind w:left="220" w:right="220"/>
      </w:pPr>
      <w:r>
        <w:rPr>
          <w:rFonts w:ascii="Consolas" w:cs="Consolas" w:eastAsia="Consolas" w:hAnsi="Consolas"/>
          <w:color w:val="1C2321"/>
          <w:sz w:val="19"/>
          <w:szCs w:val="19"/>
        </w:rPr>
        <w:t xml:space="preserve">  plans/&lt;CID&gt;/&lt;ver&gt;.json frozen SME-approved plans (committed)</w:t>
      </w:r>
    </w:p>
    <w:p>
      <w:pPr>
        <w:shd w:fill="EEECE4" w:val="clear"/>
        <w:spacing w:after="0"/>
        <w:ind w:left="220" w:right="220"/>
      </w:pPr>
      <w:r>
        <w:rPr>
          <w:rFonts w:ascii="Consolas" w:cs="Consolas" w:eastAsia="Consolas" w:hAnsi="Consolas"/>
          <w:color w:val="1C2321"/>
          <w:sz w:val="19"/>
          <w:szCs w:val="19"/>
        </w:rPr>
        <w:t xml:space="preserve">  runs/&lt;run_id&gt;.jsonl    replayable ledgers (platform ITGC evidence)</w:t>
      </w:r>
    </w:p>
    <w:p>
      <w:pPr>
        <w:shd w:fill="EEECE4" w:val="clear"/>
        <w:spacing w:after="0"/>
        <w:ind w:left="220" w:right="220"/>
      </w:pPr>
      <w:r>
        <w:rPr>
          <w:rFonts w:ascii="Consolas" w:cs="Consolas" w:eastAsia="Consolas" w:hAnsi="Consolas"/>
          <w:color w:val="1C2321"/>
          <w:sz w:val="19"/>
          <w:szCs w:val="19"/>
        </w:rPr>
        <w:t xml:space="preserve">  packs/&lt;run_id&gt;.zip     audit-ready packs</w:t>
      </w:r>
    </w:p>
    <w:p>
      <w:pPr>
        <w:shd w:fill="EEECE4" w:val="clear"/>
        <w:spacing w:after="140"/>
        <w:ind w:left="220" w:right="220"/>
      </w:pPr>
      <w:r>
        <w:rPr>
          <w:rFonts w:ascii="Consolas" w:cs="Consolas" w:eastAsia="Consolas" w:hAnsi="Consolas"/>
          <w:color w:val="1C2321"/>
          <w:sz w:val="19"/>
          <w:szCs w:val="19"/>
        </w:rPr>
        <w:t xml:space="preserve">  knowledge/             Control KB + Golden Library persistence</w:t>
      </w:r>
    </w:p>
    <w:p>
      <w:pPr>
        <w:spacing w:after="120" w:line="300"/>
      </w:pPr>
      <w:r>
        <w:rPr>
          <w:rFonts w:ascii="Calibri" w:cs="Calibri" w:eastAsia="Calibri" w:hAnsi="Calibri"/>
          <w:b/>
          <w:bCs/>
          <w:color w:val="1C2321"/>
          <w:sz w:val="22"/>
          <w:szCs w:val="22"/>
        </w:rPr>
        <w:t xml:space="preserve">Keep data/ on a local disk</w:t>
      </w:r>
      <w:r>
        <w:rPr>
          <w:rFonts w:ascii="Calibri" w:cs="Calibri" w:eastAsia="Calibri" w:hAnsi="Calibri"/>
          <w:color w:val="1C2321"/>
          <w:sz w:val="22"/>
          <w:szCs w:val="22"/>
        </w:rPr>
        <w:t xml:space="preserve"> — not a cloud-synced folder. Sync churn slows ingest badly and large evidence files do not belong in Dropbox/iCloud/OneDrive.</w:t>
      </w:r>
    </w:p>
    <w:p>
      <w:r>
        <w:br w:type="page"/>
      </w:r>
    </w:p>
    <w:p>
      <w:pPr>
        <w:pStyle w:val="Heading1"/>
        <w:spacing w:after="140" w:before="360"/>
      </w:pPr>
      <w:r>
        <w:rPr>
          <w:rFonts w:ascii="Consolas" w:cs="Consolas" w:eastAsia="Consolas" w:hAnsi="Consolas"/>
          <w:b w:val="false"/>
          <w:bCs w:val="false"/>
          <w:color w:val="0E6E5C"/>
          <w:sz w:val="20"/>
          <w:szCs w:val="20"/>
        </w:rPr>
        <w:t xml:space="preserve">8  </w:t>
      </w:r>
      <w:r>
        <w:rPr>
          <w:rFonts w:ascii="Georgia" w:cs="Georgia" w:eastAsia="Georgia" w:hAnsi="Georgia"/>
          <w:b/>
          <w:bCs/>
          <w:color w:val="1C2321"/>
          <w:sz w:val="32"/>
          <w:szCs w:val="32"/>
        </w:rPr>
        <w:t xml:space="preserve">Onboarding a new control (the real workflow)</w:t>
      </w:r>
    </w:p>
    <w:p>
      <w:pPr>
        <w:pStyle w:val="ListParagraph"/>
        <w:numPr>
          <w:ilvl w:val="0"/>
          <w:numId w:val="2"/>
        </w:numPr>
        <w:spacing w:after="80" w:line="280"/>
      </w:pPr>
      <w:r>
        <w:rPr>
          <w:rFonts w:ascii="Calibri" w:cs="Calibri" w:eastAsia="Calibri" w:hAnsi="Calibri"/>
          <w:color w:val="1C2321"/>
          <w:sz w:val="21"/>
          <w:szCs w:val="21"/>
        </w:rPr>
        <w:t xml:space="preserve">Put the control's 404 process document somewhere readable.</w:t>
      </w:r>
    </w:p>
    <w:p>
      <w:pPr>
        <w:pStyle w:val="ListParagraph"/>
        <w:numPr>
          <w:ilvl w:val="0"/>
          <w:numId w:val="2"/>
        </w:numPr>
        <w:spacing w:after="80" w:line="280"/>
      </w:pPr>
      <w:r>
        <w:rPr>
          <w:rFonts w:ascii="Consolas" w:cs="Consolas" w:eastAsia="Consolas" w:hAnsi="Consolas"/>
          <w:color w:val="0A5546"/>
          <w:sz w:val="19"/>
          <w:szCs w:val="19"/>
          <w:shd w:fill="EEECE4" w:val="clear"/>
        </w:rPr>
        <w:t xml:space="preserve">compile</w:t>
      </w:r>
      <w:r>
        <w:rPr>
          <w:rFonts w:ascii="Calibri" w:cs="Calibri" w:eastAsia="Calibri" w:hAnsi="Calibri"/>
          <w:color w:val="1C2321"/>
          <w:sz w:val="21"/>
          <w:szCs w:val="21"/>
        </w:rPr>
        <w:t xml:space="preserve"> — produces a draft plan JSON.</w:t>
      </w:r>
    </w:p>
    <w:p>
      <w:pPr>
        <w:pStyle w:val="ListParagraph"/>
        <w:numPr>
          <w:ilvl w:val="0"/>
          <w:numId w:val="2"/>
        </w:numPr>
        <w:spacing w:after="80" w:line="280"/>
      </w:pPr>
      <w:r>
        <w:rPr>
          <w:rFonts w:ascii="Calibri" w:cs="Calibri" w:eastAsia="Calibri" w:hAnsi="Calibri"/>
          <w:color w:val="1C2321"/>
          <w:sz w:val="21"/>
          <w:szCs w:val="21"/>
        </w:rPr>
        <w:t xml:space="preserve">SME reviews the draft: pins tolerances, timestamp anchors and their timezones, scope exclusions, expected evidence and match hints.</w:t>
      </w:r>
    </w:p>
    <w:p>
      <w:pPr>
        <w:pStyle w:val="ListParagraph"/>
        <w:numPr>
          <w:ilvl w:val="0"/>
          <w:numId w:val="2"/>
        </w:numPr>
        <w:spacing w:after="80" w:line="280"/>
      </w:pPr>
      <w:r>
        <w:rPr>
          <w:rFonts w:ascii="Consolas" w:cs="Consolas" w:eastAsia="Consolas" w:hAnsi="Consolas"/>
          <w:color w:val="0A5546"/>
          <w:sz w:val="19"/>
          <w:szCs w:val="19"/>
          <w:shd w:fill="EEECE4" w:val="clear"/>
        </w:rPr>
        <w:t xml:space="preserve">approve</w:t>
      </w:r>
      <w:r>
        <w:rPr>
          <w:rFonts w:ascii="Calibri" w:cs="Calibri" w:eastAsia="Calibri" w:hAnsi="Calibri"/>
          <w:color w:val="1C2321"/>
          <w:sz w:val="21"/>
          <w:szCs w:val="21"/>
        </w:rPr>
        <w:t xml:space="preserve"> — the plan freezes, versioned. Runtime refuses unapproved plans.</w:t>
      </w:r>
    </w:p>
    <w:p>
      <w:pPr>
        <w:pStyle w:val="ListParagraph"/>
        <w:numPr>
          <w:ilvl w:val="0"/>
          <w:numId w:val="2"/>
        </w:numPr>
        <w:spacing w:after="80" w:line="280"/>
      </w:pPr>
      <w:r>
        <w:rPr>
          <w:rFonts w:ascii="Calibri" w:cs="Calibri" w:eastAsia="Calibri" w:hAnsi="Calibri"/>
          <w:color w:val="1C2321"/>
          <w:sz w:val="21"/>
          <w:szCs w:val="21"/>
        </w:rPr>
        <w:t xml:space="preserve">Run each period's package through the console. Disagreements and anomalies land in the exception queue; adjudications grow the Golden Library behind the eval gate.</w:t>
      </w:r>
    </w:p>
    <w:p>
      <w:pPr>
        <w:pStyle w:val="Heading1"/>
        <w:spacing w:after="140" w:before="360"/>
      </w:pPr>
      <w:r>
        <w:rPr>
          <w:rFonts w:ascii="Consolas" w:cs="Consolas" w:eastAsia="Consolas" w:hAnsi="Consolas"/>
          <w:b w:val="false"/>
          <w:bCs w:val="false"/>
          <w:color w:val="0E6E5C"/>
          <w:sz w:val="20"/>
          <w:szCs w:val="20"/>
        </w:rPr>
        <w:t xml:space="preserve">9  </w:t>
      </w:r>
      <w:r>
        <w:rPr>
          <w:rFonts w:ascii="Georgia" w:cs="Georgia" w:eastAsia="Georgia" w:hAnsi="Georgia"/>
          <w:b/>
          <w:bCs/>
          <w:color w:val="1C2321"/>
          <w:sz w:val="32"/>
          <w:szCs w:val="32"/>
        </w:rPr>
        <w:t xml:space="preserve">Troubleshooting</w:t>
      </w:r>
    </w:p>
    <w:tbl>
      <w:tblPr>
        <w:tblW w:type="dxa" w:w="9360"/>
        <w:tblBorders>
          <w:top w:val="single" w:color="DDD9CE" w:sz="4"/>
          <w:left w:val="single" w:color="DDD9CE" w:sz="4"/>
          <w:bottom w:val="single" w:color="DDD9CE" w:sz="4"/>
          <w:right w:val="single" w:color="DDD9CE" w:sz="4"/>
          <w:insideH w:val="single" w:color="DDD9CE" w:sz="4"/>
          <w:insideV w:val="single" w:color="DDD9CE" w:sz="4"/>
        </w:tblBorders>
      </w:tblPr>
      <w:tblGrid>
        <w:gridCol w:w="2900"/>
        <w:gridCol w:w="2200"/>
        <w:gridCol w:w="4260"/>
      </w:tblGrid>
      <w:tr>
        <w:trPr>
          <w:tblHeader/>
        </w:trPr>
        <w:tc>
          <w:tcPr>
            <w:tcW w:type="dxa" w:w="29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SYMPTOM</w:t>
            </w:r>
          </w:p>
        </w:tc>
        <w:tc>
          <w:tcPr>
            <w:tcW w:type="dxa" w:w="220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CAUSE</w:t>
            </w:r>
          </w:p>
        </w:tc>
        <w:tc>
          <w:tcPr>
            <w:tcW w:type="dxa" w:w="4260"/>
            <w:shd w:fill="F2F0E9" w:val="clear"/>
            <w:tcMar>
              <w:top w:type="dxa" w:w="70"/>
              <w:left w:type="dxa" w:w="100"/>
              <w:bottom w:type="dxa" w:w="70"/>
              <w:right w:type="dxa" w:w="100"/>
            </w:tcMar>
          </w:tcPr>
          <w:p>
            <w:pPr>
              <w:spacing w:after="0" w:line="260"/>
            </w:pPr>
            <w:r>
              <w:rPr>
                <w:rFonts w:ascii="Calibri" w:cs="Calibri" w:eastAsia="Calibri" w:hAnsi="Calibri"/>
                <w:b/>
                <w:bCs/>
                <w:color w:val="52605B"/>
                <w:spacing w:val="20"/>
                <w:sz w:val="17"/>
                <w:szCs w:val="17"/>
              </w:rPr>
              <w:t xml:space="preserve">FIX</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pip install SSL errors</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TLS-intercepting proxy</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§1 CA bundle</w:t>
            </w:r>
          </w:p>
        </w:tc>
      </w:tr>
      <w:tr>
        <w:tc>
          <w:tcPr>
            <w:tcW w:type="dxa" w:w="290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TesseractNotFoundError</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binary not on PATH</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install per §1; Windows: add %LOCALAPPDATA%\Programs\Tesseract-OCR to PATH</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Run killed (exit 137) on huge workbooks</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low-RAM machine</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lower IQR_STREAM_THRESHOLD (e.g. 20000000) and IQR_MAX_CELLS_PER_FILE (e.g. 1000000) — truncation is recorded honestly</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no approved plan for &lt;CID&gt;</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plan not frozen</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compile + approve (§8)</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Console shows no controls</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same</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same</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Model probe fails</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endpoint/key wrong</w:t>
            </w:r>
          </w:p>
        </w:tc>
        <w:tc>
          <w:tcPr>
            <w:tcW w:type="dxa" w:w="426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.env values; IQR_MODEL=stub always works offline</w:t>
            </w:r>
          </w:p>
        </w:tc>
      </w:tr>
      <w:tr>
        <w:tc>
          <w:tcPr>
            <w:tcW w:type="dxa" w:w="29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Port 8400 in use</w:t>
            </w:r>
          </w:p>
        </w:tc>
        <w:tc>
          <w:tcPr>
            <w:tcW w:type="dxa" w:w="2200"/>
            <w:shd w:fill="FFFFFF" w:val="clear"/>
            <w:tcMar>
              <w:top w:type="dxa" w:w="70"/>
              <w:left w:type="dxa" w:w="100"/>
              <w:bottom w:type="dxa" w:w="70"/>
              <w:right w:type="dxa" w:w="100"/>
            </w:tcMar>
          </w:tcPr>
          <w:p>
            <w:pPr>
              <w:spacing w:after="0" w:line="260"/>
            </w:pPr>
            <w:r>
              <w:rPr>
                <w:rFonts w:ascii="Calibri" w:cs="Calibri" w:eastAsia="Calibri" w:hAnsi="Calibri"/>
                <w:b w:val="false"/>
                <w:bCs w:val="false"/>
                <w:color w:val="1C2321"/>
                <w:sz w:val="19"/>
                <w:szCs w:val="19"/>
              </w:rPr>
              <w:t xml:space="preserve">another instance</w:t>
            </w:r>
          </w:p>
        </w:tc>
        <w:tc>
          <w:tcPr>
            <w:tcW w:type="dxa" w:w="4260"/>
            <w:shd w:fill="FFFFFF" w:val="clear"/>
            <w:tcMar>
              <w:top w:type="dxa" w:w="70"/>
              <w:left w:type="dxa" w:w="100"/>
              <w:bottom w:type="dxa" w:w="70"/>
              <w:right w:type="dxa" w:w="100"/>
            </w:tcMar>
          </w:tcPr>
          <w:p>
            <w:pPr>
              <w:spacing w:after="0" w:line="260"/>
            </w:pPr>
            <w:r>
              <w:rPr>
                <w:rFonts w:ascii="Consolas" w:cs="Consolas" w:eastAsia="Consolas" w:hAnsi="Consolas"/>
                <w:color w:val="0A5546"/>
                <w:sz w:val="18"/>
                <w:szCs w:val="18"/>
              </w:rPr>
              <w:t xml:space="preserve">uvicorn iqr.api.app:app --host 127.0.0.1 --port 8401</w:t>
            </w:r>
          </w:p>
        </w:tc>
      </w:tr>
    </w:tbl>
    <w:p>
      <w:pPr>
        <w:pStyle w:val="Heading1"/>
        <w:spacing w:after="140" w:before="360"/>
      </w:pPr>
      <w:r>
        <w:rPr>
          <w:rFonts w:ascii="Consolas" w:cs="Consolas" w:eastAsia="Consolas" w:hAnsi="Consolas"/>
          <w:b w:val="false"/>
          <w:bCs w:val="false"/>
          <w:color w:val="0E6E5C"/>
          <w:sz w:val="20"/>
          <w:szCs w:val="20"/>
        </w:rPr>
        <w:t xml:space="preserve">10  </w:t>
      </w:r>
      <w:r>
        <w:rPr>
          <w:rFonts w:ascii="Georgia" w:cs="Georgia" w:eastAsia="Georgia" w:hAnsi="Georgia"/>
          <w:b/>
          <w:bCs/>
          <w:color w:val="1C2321"/>
          <w:sz w:val="32"/>
          <w:szCs w:val="32"/>
        </w:rPr>
        <w:t xml:space="preserve">Production hardening checklist</w:t>
      </w:r>
    </w:p>
    <w:p>
      <w:pPr>
        <w:pStyle w:val="ListParagraph"/>
        <w:numPr>
          <w:ilvl w:val="0"/>
          <w:numId w:val="3"/>
        </w:numPr>
        <w:spacing w:after="60" w:line="280"/>
      </w:pPr>
      <w:r>
        <w:rPr>
          <w:rFonts w:ascii="Calibri" w:cs="Calibri" w:eastAsia="Calibri" w:hAnsi="Calibri"/>
          <w:color w:val="1C2321"/>
          <w:sz w:val="21"/>
          <w:szCs w:val="21"/>
        </w:rPr>
        <w:t xml:space="preserve">Run the console as a service (Task Scheduler / nssm on Windows, launchd/systemd elsewhere), still bound to 127.0.0.1.</w:t>
      </w:r>
    </w:p>
    <w:p>
      <w:pPr>
        <w:pStyle w:val="ListParagraph"/>
        <w:numPr>
          <w:ilvl w:val="0"/>
          <w:numId w:val="3"/>
        </w:numPr>
        <w:spacing w:after="60" w:line="280"/>
      </w:pPr>
      <w:r>
        <w:rPr>
          <w:rFonts w:ascii="Calibri" w:cs="Calibri" w:eastAsia="Calibri" w:hAnsi="Calibri"/>
          <w:color w:val="1C2321"/>
          <w:sz w:val="21"/>
          <w:szCs w:val="21"/>
        </w:rPr>
        <w:t xml:space="preserve">Back up data/ — plans, ledgers, and packs are your audit trail.</w:t>
      </w:r>
    </w:p>
    <w:p>
      <w:pPr>
        <w:pStyle w:val="ListParagraph"/>
        <w:numPr>
          <w:ilvl w:val="0"/>
          <w:numId w:val="3"/>
        </w:numPr>
        <w:spacing w:after="60" w:line="280"/>
      </w:pPr>
      <w:r>
        <w:rPr>
          <w:rFonts w:ascii="Calibri" w:cs="Calibri" w:eastAsia="Calibri" w:hAnsi="Calibri"/>
          <w:color w:val="1C2321"/>
          <w:sz w:val="21"/>
          <w:szCs w:val="21"/>
        </w:rPr>
        <w:t xml:space="preserve">Wire the mailbox/SharePoint watcher behind iqr/ingest/resolver.py for automatic package pull.</w:t>
      </w:r>
    </w:p>
    <w:p>
      <w:pPr>
        <w:pStyle w:val="ListParagraph"/>
        <w:numPr>
          <w:ilvl w:val="0"/>
          <w:numId w:val="3"/>
        </w:numPr>
        <w:spacing w:after="60" w:line="280"/>
      </w:pPr>
      <w:r>
        <w:rPr>
          <w:rFonts w:ascii="Calibri" w:cs="Calibri" w:eastAsia="Calibri" w:hAnsi="Calibri"/>
          <w:color w:val="1C2321"/>
          <w:sz w:val="21"/>
          <w:szCs w:val="21"/>
        </w:rPr>
        <w:t xml:space="preserve">Enforce the release gate: no plan amendment or Golden Library exemplar ships unless the eval harness passes plus SME sign-off.</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lvl w:ilvl="1" w15:tentative="1">
      <w:start w:val="1"/>
      <w:numFmt w:val="bullet"/>
      <w:lvlText w:val="◦"/>
      <w:lvlJc w:val="start"/>
      <w:pPr>
        <w:ind w:left="720" w:hanging="20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2026-08-26T20:37:23.324Z</dcterms:created>
  <dcterms:modified xsi:type="dcterms:W3CDTF">2026-08-26T20:37:23.324Z</dcterms:modified>
</cp:coreProperties>
</file>

<file path=docProps/custom.xml><?xml version="1.0" encoding="utf-8"?>
<Properties xmlns="http://schemas.openxmlformats.org/officeDocument/2006/custom-properties" xmlns:vt="http://schemas.openxmlformats.org/officeDocument/2006/docPropsVTypes"/>
</file>