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0E6E5C"/>
          <w:spacing w:val="30"/>
          <w:sz w:val="16"/>
          <w:szCs w:val="16"/>
        </w:rPr>
        <w:t xml:space="preserve">DESIGN DOCUMENT · V3 · AGENTS, TOOLS &amp; ORCHESTRATION IN FULL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1C2321"/>
          <w:sz w:val="56"/>
          <w:szCs w:val="56"/>
        </w:rPr>
        <w:t xml:space="preserve">IQR — Intelligent Quality Review for SOX 404 Controls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2605B"/>
          <w:sz w:val="23"/>
          <w:szCs w:val="23"/>
        </w:rPr>
        <w:t xml:space="preserve">A compiled-plan agentic platform that validates SOX 404 evidence packages end-to-end. This document names every agent, every tool, and the exact point in the workflow where each is invoked — plus the adversarial sentinel, the blinded verifier, the evaluation harness, the Golden Library lifecycle, and the console a reviewer actually uses.</w:t>
      </w:r>
    </w:p>
    <w:p>
      <w:pPr>
        <w:pBdr>
          <w:bottom w:val="double" w:color="DDD9CE" w:sz="6"/>
        </w:pBdr>
        <w:spacing w:after="240"/>
      </w:pP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/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Executive summary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5546"/>
          <w:sz w:val="24"/>
          <w:szCs w:val="24"/>
        </w:rPr>
        <w:t xml:space="preserve">The problem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Today the team validates SOX 404 evidence with a large language model used generatively: the evidence package goes in as text, and the model writes up its assessment. The work gets done - but the same package can produce a different response every run. Numbers are read and judged by the same model in one breath, there is no citation trail back to the exact cell or email line a conclusion came from, and no way to replay how a verdict was reached. For a SOX control, non-reproducible validation is not a quality issue - it fails audit by construction. And the evidence itself is hard: nested packages where approval emails hold ZIPs holding macro workbooks, screenshot-laden documents, and certified report extracts.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5546"/>
          <w:sz w:val="24"/>
          <w:szCs w:val="24"/>
        </w:rPr>
        <w:t xml:space="preserve">The solution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IQR moves from generative AI to agentic AI - the same model intelligence, restructured for audit.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A validation plan is compiled once per control from its SOX 404 document and frozen after SME approval; the runtime executes the plan, never improvises. Agents carry the high-attention, multi-step work - but they act through deterministic tools: every number, timestamp, and sign-off fact is extracted and computed by Python that returns a citation, never generated by the model. An adversarial sentinel screens each package for manipulation patterns before checks run; a blinded verifier re-performs every finding from its citations alone; a mechanical citation gate rejects any claim whose evidence locator does not resolve. Same package + same plan = same verdict, every time - with a replayable ledger of every decision.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5546"/>
          <w:sz w:val="24"/>
          <w:szCs w:val="24"/>
        </w:rPr>
        <w:t xml:space="preserve">Why quality keeps rising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Every run is measured. A five-gate evaluation harness (defect recall, false-exception rate, 100% citation validity, abstention correctness, reproducibility) gates every release - and every human override becomes a new regression case in the Golden Library, so the system is permanently tested against its own history. Validation quality compounds instead of drifting.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5546"/>
          <w:sz w:val="24"/>
          <w:szCs w:val="24"/>
        </w:rPr>
        <w:t xml:space="preserve">Where it stands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Validated against real evidence packages: control 10032 runs end-to-end with every check passing on cited real cells, the full offline test suite is green, and the console lets a reviewer run a control without knowing anything about the machinery. The model seat is swappable by configuration - an approved internal endpoint in production, a deterministic stub offline - so the platform is never blocked on a vendor.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01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The three laws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Every design decision in IQR descends from three laws. When a choice conflicts with one of them, the choice loses: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Numbers are computed by deterministic Python, never by a model.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Every claim in output carries a resolvable evidence locator.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Same input produces the same verdict.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This is why the system splits into three layers: a </w:t>
      </w:r>
      <w:r>
        <w:rPr>
          <w:rFonts w:ascii="Calibri" w:cs="Calibri" w:eastAsia="Calibri" w:hAnsi="Calibri"/>
          <w:i/>
          <w:iCs/>
          <w:color w:val="1C2321"/>
          <w:sz w:val="22"/>
          <w:szCs w:val="22"/>
        </w:rPr>
        <w:t xml:space="preserve">document-intelligence layer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that makes every fact in a messy evidence package addressable; a </w:t>
      </w:r>
      <w:r>
        <w:rPr>
          <w:rFonts w:ascii="Calibri" w:cs="Calibri" w:eastAsia="Calibri" w:hAnsi="Calibri"/>
          <w:i/>
          <w:iCs/>
          <w:color w:val="1C2321"/>
          <w:sz w:val="22"/>
          <w:szCs w:val="22"/>
        </w:rPr>
        <w:t xml:space="preserve">reasoning layer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of scoped agents that decide where answers live and what they mean; and an </w:t>
      </w:r>
      <w:r>
        <w:rPr>
          <w:rFonts w:ascii="Calibri" w:cs="Calibri" w:eastAsia="Calibri" w:hAnsi="Calibri"/>
          <w:i/>
          <w:iCs/>
          <w:color w:val="1C2321"/>
          <w:sz w:val="22"/>
          <w:szCs w:val="22"/>
        </w:rPr>
        <w:t xml:space="preserve">action layer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of deterministic tools that do all extraction and arithmetic, returning citations. Agents may only obtain numbers, timestamps, and text by calling tools — never by generating them.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02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Architecture at a glance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2605B"/>
          <w:spacing w:val="25"/>
          <w:sz w:val="15"/>
          <w:szCs w:val="15"/>
        </w:rPr>
        <w:t xml:space="preserve">TWO PHASES, ONE GOVERNED LEARNING LOOP</w:t>
      </w:r>
    </w:p>
    <w:p>
      <w:pPr>
        <w:pBdr>
          <w:top w:val="single" w:color="DDD9CE" w:sz="4"/>
          <w:bottom w:val="single" w:color="DDD9CE" w:sz="4"/>
          <w:left w:val="single" w:color="DDD9CE" w:sz="4"/>
          <w:right w:val="single" w:color="DDD9CE" w:sz="4"/>
        </w:pBdr>
        <w:spacing w:after="160"/>
        <w:jc w:val="center"/>
      </w:pPr>
      <w:r>
        <w:drawing>
          <wp:inline distT="0" distB="0" distL="0" distR="0">
            <wp:extent cx="46291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COMPONENT</w:t>
            </w:r>
          </w:p>
        </w:tc>
        <w:tc>
          <w:tcPr>
            <w:tcW w:type="dxa" w:w="716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CHOICE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Runtime stack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Python 3.12 · LangGraph · openpyxl / pyxlsb / extract-msg / python-docx · Tesseract OCR · FastAPI console on 127.0.0.1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Storage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Content-addressed evidence store (SHA-256 blobs, immutable) · versioned plan store · append-only JSONL run ledgers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Model seat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Single adapter; backend by environment (DaVinci · Claude · offline stub) — see §08</w:t>
            </w:r>
          </w:p>
        </w:tc>
      </w:tr>
    </w:tbl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03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Document-intelligence layer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GRC packages are nested trees — an Outlook email holding a ZIP holding macro workbooks; a Word 404 with a 184 MB Excel workbook embedded as an OLE object; screenshots inside workbook tabs; SharePoint links standing in for files. The contract: every fact becomes addressable, every failure becomes a recorded error, and nothing is silently skipped.</w:t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1150"/>
        <w:gridCol w:w="3100"/>
        <w:gridCol w:w="3110"/>
        <w:gridCol w:w="2000"/>
      </w:tblGrid>
      <w:tr>
        <w:trPr>
          <w:tblHeader/>
        </w:trPr>
        <w:tc>
          <w:tcPr>
            <w:tcW w:type="dxa" w:w="115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ARTIFACT</w:t>
            </w:r>
          </w:p>
        </w:tc>
        <w:tc>
          <w:tcPr>
            <w:tcW w:type="dxa" w:w="31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EXTRACTOR</w:t>
            </w:r>
          </w:p>
        </w:tc>
        <w:tc>
          <w:tcPr>
            <w:tcW w:type="dxa" w:w="311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FACTS PRODUCED</w:t>
            </w:r>
          </w:p>
        </w:tc>
        <w:tc>
          <w:tcPr>
            <w:tcW w:type="dxa" w:w="20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LOCATOR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.xlsx / .xlsm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openpyxl dual-pass (values + formulas); &gt;60 MB streams read-only with truncation sentinel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CellFacts (value, is_formula, formula), embedded images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cell: hash+Sheet!Cell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.xlsb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pyxlsb binary parse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CellFacts (cached values)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cell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.docx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python-docx; &gt;30 MB streams XML; word/media → images; word/embeddings → child artifacts, recursive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paragraphs, images, nested workbooks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doc: hash+paragraph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.msg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extract-msg: headers, body, attachments incl. nested ZIPs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EmailFact (sender, date, subject, numbered lines), children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email: msg-id+line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.eml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stdlib email parser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EmailFact + attachments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.zip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recursive walk, depth-capped; &gt;50 MB entries stream chunk-wise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custody node + children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file: hash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images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PIL + Tesseract OCR on demand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ImageFact (dims, OCR text)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image: hash+region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.url / .lnk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flagged, never followed</w:t>
            </w:r>
          </w:p>
        </w:tc>
        <w:tc>
          <w:tcPr>
            <w:tcW w:type="dxa" w:w="31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placeholder leaf → sentinel HIGH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file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Every leaf is SHA-256 hashed into an immutable content-addressed store at ingest — the chain of custody. Re-ingesting identical bytes yields identical hashes, which makes citations stable across runs and packages diffable across periods.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04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Agent &amp; tool roster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Six reasoning seats, ten deterministic tools. Each agent is scoped: it sees only its inputs, may call only its listed tools, and everything it does lands in the ledger.</w:t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1500"/>
        <w:gridCol w:w="1450"/>
        <w:gridCol w:w="2450"/>
        <w:gridCol w:w="2260"/>
        <w:gridCol w:w="1700"/>
      </w:tblGrid>
      <w:tr>
        <w:trPr>
          <w:tblHeader/>
        </w:trPr>
        <w:tc>
          <w:tcPr>
            <w:tcW w:type="dxa" w:w="15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AGENT</w:t>
            </w:r>
          </w:p>
        </w:tc>
        <w:tc>
          <w:tcPr>
            <w:tcW w:type="dxa" w:w="145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INVOKED</w:t>
            </w:r>
          </w:p>
        </w:tc>
        <w:tc>
          <w:tcPr>
            <w:tcW w:type="dxa" w:w="245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SEES</w:t>
            </w:r>
          </w:p>
        </w:tc>
        <w:tc>
          <w:tcPr>
            <w:tcW w:type="dxa" w:w="226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TOOLS</w:t>
            </w:r>
          </w:p>
        </w:tc>
        <w:tc>
          <w:tcPr>
            <w:tcW w:type="dxa" w:w="17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EMITS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2321"/>
                <w:sz w:val="22"/>
                <w:szCs w:val="22"/>
              </w:rPr>
              <w:t xml:space="preserve">Plan Compiler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Design time, per control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404 doc + Control-KB retrievals</w:t>
            </w:r>
          </w:p>
        </w:tc>
        <w:tc>
          <w:tcPr>
            <w:tcW w:type="dxa" w:w="2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doc readers, KB retrieval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Draft plan → human review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2321"/>
                <w:sz w:val="22"/>
                <w:szCs w:val="22"/>
              </w:rPr>
              <w:t xml:space="preserve">Temporal agent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Per temporal check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check params + matched evidence</w:t>
            </w:r>
          </w:p>
        </w:tc>
        <w:tc>
          <w:tcPr>
            <w:tcW w:type="dxa" w:w="2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cell_read, email_signoff_facts, timestamp_order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Finding + citations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2321"/>
                <w:sz w:val="22"/>
                <w:szCs w:val="22"/>
              </w:rPr>
              <w:t xml:space="preserve">Sign-off / SoD agent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Per signoff check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params, preparer, prepared-at cell</w:t>
            </w:r>
          </w:p>
        </w:tc>
        <w:tc>
          <w:tcPr>
            <w:tcW w:type="dxa" w:w="2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email_signoff_facts, cell_read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Finding + citations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2321"/>
                <w:sz w:val="22"/>
                <w:szCs w:val="22"/>
              </w:rPr>
              <w:t xml:space="preserve">Vision agent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Per vision check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image hashes + target cell</w:t>
            </w:r>
          </w:p>
        </w:tc>
        <w:tc>
          <w:tcPr>
            <w:tcW w:type="dxa" w:w="2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ocr_labeled_number, cell_read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Finding + citations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2321"/>
                <w:sz w:val="22"/>
                <w:szCs w:val="22"/>
              </w:rPr>
              <w:t xml:space="preserve">Blinded Verifier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Per finding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ONLY {check, verdict, citations} — reasoning structurally absent</w:t>
            </w:r>
          </w:p>
        </w:tc>
        <w:tc>
          <w:tcPr>
            <w:tcW w:type="dxa" w:w="2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same tools, re-performs from citations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agree / disagree → exception queue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2321"/>
                <w:sz w:val="22"/>
                <w:szCs w:val="22"/>
              </w:rPr>
              <w:t xml:space="preserve">Plan-draft harness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Offline only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Golden Library + Control KB</w:t>
            </w:r>
          </w:p>
        </w:tc>
        <w:tc>
          <w:tcPr>
            <w:tcW w:type="dxa" w:w="2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retrieval, doc readers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candidate amendments — never runtime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The Anomaly Sentinel is deliberately not an LLM agent.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Its six detectors are deterministic Python (law 1: the adversary must not hallucinate accusations either). It sits in the topology as its own stage — see §06.</w:t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TOOL</w:t>
            </w:r>
          </w:p>
        </w:tc>
        <w:tc>
          <w:tcPr>
            <w:tcW w:type="dxa" w:w="376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CONTRACT</w:t>
            </w:r>
          </w:p>
        </w:tc>
        <w:tc>
          <w:tcPr>
            <w:tcW w:type="dxa" w:w="32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RETURNS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cell_read / range_read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graph, file_hash, sheet, cell(s)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value(s) + cell citation; CellNotFound is loud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recompute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op ∈ {sum_equals, product_equals, delta_zero, equals}, sources, target, tolerance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ok / computed / delta — pure arithmetic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raw string + plan-pinned timezone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UTC-normalized datetime; ordering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email_parse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graph, message-id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sender, UTC date, approval line + text, line-cited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ocr_read / find_labeled_number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graph, image hash (+ label)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OCR text / value + image citation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citation.resolve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citation, graph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True only if the locator dereferences — the gate</w:t>
            </w:r>
          </w:p>
        </w:tc>
      </w:tr>
    </w:tbl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05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A run, tool call by tool call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Control 10032 against the real April FY26 package — exactly what the ledger records: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2605B"/>
          <w:spacing w:val="25"/>
          <w:sz w:val="15"/>
          <w:szCs w:val="15"/>
        </w:rPr>
        <w:t xml:space="preserve">SEQUENCE — WHO CALLS WHAT, IN ORDER</w:t>
      </w:r>
    </w:p>
    <w:p>
      <w:pPr>
        <w:pBdr>
          <w:top w:val="single" w:color="DDD9CE" w:sz="4"/>
          <w:bottom w:val="single" w:color="DDD9CE" w:sz="4"/>
          <w:left w:val="single" w:color="DDD9CE" w:sz="4"/>
          <w:right w:val="single" w:color="DDD9CE" w:sz="4"/>
        </w:pBdr>
        <w:spacing w:after="160"/>
        <w:jc w:val="center"/>
      </w:pPr>
      <w:r>
        <w:drawing>
          <wp:inline distT="0" distB="0" distL="0" distR="0">
            <wp:extent cx="594360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Replay any run with </w:t>
      </w:r>
      <w:r>
        <w:rPr>
          <w:rFonts w:ascii="Consolas" w:cs="Consolas" w:eastAsia="Consolas" w:hAnsi="Consolas"/>
          <w:color w:val="0A5546"/>
          <w:sz w:val="19"/>
          <w:szCs w:val="19"/>
          <w:shd w:fill="EEECE4" w:val="clear"/>
        </w:rPr>
        <w:t xml:space="preserve">python -m iqr.cli explain &lt;run_id&gt;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— the ledger holds every event above with arguments and results.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06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Adversarial layer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5546"/>
          <w:sz w:val="24"/>
          <w:szCs w:val="24"/>
        </w:rPr>
        <w:t xml:space="preserve">Anomaly Sentinel — before the checks (topology v1.1.0)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The sentinel attacks the package: the patterns a well-formed pack uses to hide problems. Six deterministic detectors, every anomaly cited:</w:t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1900"/>
        <w:gridCol w:w="5760"/>
        <w:gridCol w:w="1700"/>
      </w:tblGrid>
      <w:tr>
        <w:trPr>
          <w:tblHeader/>
        </w:trPr>
        <w:tc>
          <w:tcPr>
            <w:tcW w:type="dxa" w:w="19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DETECTOR</w:t>
            </w:r>
          </w:p>
        </w:tc>
        <w:tc>
          <w:tcPr>
            <w:tcW w:type="dxa" w:w="576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HUNTS</w:t>
            </w:r>
          </w:p>
        </w:tc>
        <w:tc>
          <w:tcPr>
            <w:tcW w:type="dxa" w:w="17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SEVERITY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period_conflict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Prior-quarter artifacts recycled into this period's pack (Q126 vs Q226); respects plan scope exclusions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8A5A17"/>
                <w:sz w:val="17"/>
                <w:szCs w:val="17"/>
                <w:shd w:fill="EEECE4" w:val="clear"/>
              </w:rPr>
              <w:t xml:space="preserve"> WARN 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duplicate_artifact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Identical bytes under multiple names — nobody re-ran anything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info, on the record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SharePoint links posing as attachments, zero-byte leaves, unreadable containers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A63A3A"/>
                <w:sz w:val="17"/>
                <w:szCs w:val="17"/>
                <w:shd w:fill="EEECE4" w:val="clear"/>
              </w:rPr>
              <w:t xml:space="preserve"> HIGH 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pasted_constant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A recon delta that is a typed constant, not a formula — the classic faked reconciliation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8A5A17"/>
                <w:sz w:val="17"/>
                <w:szCs w:val="17"/>
                <w:shd w:fill="EEECE4" w:val="clear"/>
              </w:rPr>
              <w:t xml:space="preserve"> WARN 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tolerance_edge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Deltas parked within 10× of tolerance — passes, but barely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8A5A17"/>
                <w:sz w:val="17"/>
                <w:szCs w:val="17"/>
                <w:shd w:fill="EEECE4" w:val="clear"/>
              </w:rPr>
              <w:t xml:space="preserve"> WARN 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single_actor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Approval email sent by the declared preparer — SoD collapsed before the check runs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A63A3A"/>
                <w:sz w:val="17"/>
                <w:szCs w:val="17"/>
                <w:shd w:fill="EEECE4" w:val="clear"/>
              </w:rPr>
              <w:t xml:space="preserve"> HIGH 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High-severity anomalies become exceptions in the verdict and route to the human queue — a package can never sail through clean while carrying a link placeholder where evidence should be.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5546"/>
          <w:sz w:val="24"/>
          <w:szCs w:val="24"/>
        </w:rPr>
        <w:t xml:space="preserve">Blinded Verifier — after the checks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The verifier attacks the findings. Its input type contains only {check, claimed verdict, citations} — the executor's reasoning is structurally absent (enforced by the type, tested by the suite). It re-performs each conclusion from the cited evidence alone using the same deterministic tools. Agreement → the finding stands, marked verified. Disagreement → exception queue; humans arbitrate, never a silent overwrite.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07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Multi-agent orchestration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Orchestration is LangGraph with a </w:t>
      </w: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fixed, versioned topology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— currently v1.1.0: </w:t>
      </w:r>
      <w:r>
        <w:rPr>
          <w:rFonts w:ascii="Consolas" w:cs="Consolas" w:eastAsia="Consolas" w:hAnsi="Consolas"/>
          <w:color w:val="0A5546"/>
          <w:sz w:val="19"/>
          <w:szCs w:val="19"/>
          <w:shd w:fill="EEECE4" w:val="clear"/>
        </w:rPr>
        <w:t xml:space="preserve">ingest → match → sentinel → check×N (parallel) → verify → adjudicate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. The topology serializes to a SHA-256 signature recorded in every run ledger, so any change to the orchestration itself is a diffable, versioned event.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Fan-out: 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each check in the frozen plan becomes an independent branch (LangGraph Send); parallelizable checks run concurrently. A crashed check abstains loudly as a gap — it can never sink the run or be mistaken for a pass.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Typed state: 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the evidence graph and findings flow as structured state — never re-dumped into prompt text. What an agent cannot see, it cannot leak or be biased by (this is how the verifier's blindness is enforced).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Grounding: 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check/verify agents may retrieve from the Golden Library (how was this pattern judged before); the Plan Compiler retrieves from the Control KB. Retrieval-anchored, never free-associating.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No runtime planner: 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the plan chose the checks at design time. The autonomous planner (Option 3) exists only as an offline drafting harness behind the eval gate.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08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Model seat: DaVinci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One adapter, </w:t>
      </w:r>
      <w:r>
        <w:rPr>
          <w:rFonts w:ascii="Consolas" w:cs="Consolas" w:eastAsia="Consolas" w:hAnsi="Consolas"/>
          <w:color w:val="0A5546"/>
          <w:sz w:val="19"/>
          <w:szCs w:val="19"/>
          <w:shd w:fill="EEECE4" w:val="clear"/>
        </w:rPr>
        <w:t xml:space="preserve">complete(system, prompt) → JSON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, temperature 0, backend chosen by environment: </w:t>
      </w: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DaVinci in production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, Claude in the lab, deterministic stub offline/CI. The fallback chain degrades to stub on outage — the close calendar is never blocked. The ledger records which backend answered every call, making each run attributable to its model version. Precedent: the Python + DaVinci pattern already runs NextGen Collections in production; IQR adds LangGraph orchestration, not a new platform.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What changes per environment: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two lines of </w:t>
      </w:r>
      <w:r>
        <w:rPr>
          <w:rFonts w:ascii="Consolas" w:cs="Consolas" w:eastAsia="Consolas" w:hAnsi="Consolas"/>
          <w:color w:val="0A5546"/>
          <w:sz w:val="19"/>
          <w:szCs w:val="19"/>
          <w:shd w:fill="EEECE4" w:val="clear"/>
        </w:rPr>
        <w:t xml:space="preserve">.env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A5546"/>
          <w:sz w:val="19"/>
          <w:szCs w:val="19"/>
          <w:shd w:fill="EEECE4" w:val="clear"/>
        </w:rPr>
        <w:t xml:space="preserve">IQR_MODEL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and the endpoint URL + key. Nothing else. The demo and the entire test suite run with no keys at all.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09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Evaluation harness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The harness answers one question before anything ships: does the system still catch what it must catch, refuse what it must refuse, and reproduce what it produced?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2605B"/>
          <w:spacing w:val="25"/>
          <w:sz w:val="15"/>
          <w:szCs w:val="15"/>
        </w:rPr>
        <w:t xml:space="preserve">ONE EVAL RUN</w:t>
      </w:r>
    </w:p>
    <w:p>
      <w:pPr>
        <w:pBdr>
          <w:top w:val="single" w:color="DDD9CE" w:sz="4"/>
          <w:bottom w:val="single" w:color="DDD9CE" w:sz="4"/>
          <w:left w:val="single" w:color="DDD9CE" w:sz="4"/>
          <w:right w:val="single" w:color="DDD9CE" w:sz="4"/>
        </w:pBdr>
        <w:spacing w:after="160"/>
        <w:jc w:val="center"/>
      </w:pPr>
      <w:r>
        <w:drawing>
          <wp:inline distT="0" distB="0" distL="0" distR="0">
            <wp:extent cx="59436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22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GATE METRIC</w:t>
            </w:r>
          </w:p>
        </w:tc>
        <w:tc>
          <w:tcPr>
            <w:tcW w:type="dxa" w:w="466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MEANING</w:t>
            </w:r>
          </w:p>
        </w:tc>
        <w:tc>
          <w:tcPr>
            <w:tcW w:type="dxa" w:w="25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GATE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Defect recall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Seeded defects caught (each seeded pack must NOT pass clean)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100% of seeded classes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False-exception rate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Clean packs wrongly flagged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bounded, tracked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Citation validity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Every claim's locator resolves against the graph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2321"/>
                <w:sz w:val="22"/>
                <w:szCs w:val="22"/>
              </w:rPr>
              <w:t xml:space="preserve">100% — hard gate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Abstention correctness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Missing evidence → gap, never pass or invention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Same pack + plan → identical verdict fingerprint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exact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Run it from the console's Evaluation tab, VS Code (launch config), or </w:t>
      </w:r>
      <w:r>
        <w:rPr>
          <w:rFonts w:ascii="Consolas" w:cs="Consolas" w:eastAsia="Consolas" w:hAnsi="Consolas"/>
          <w:color w:val="0A5546"/>
          <w:sz w:val="19"/>
          <w:szCs w:val="19"/>
          <w:shd w:fill="EEECE4" w:val="clear"/>
        </w:rPr>
        <w:t xml:space="preserve">python -m iqr.cli eval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. The same harness is the regression gate for the Golden Library.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10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Golden Library lifecycle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2605B"/>
          <w:spacing w:val="25"/>
          <w:sz w:val="15"/>
          <w:szCs w:val="15"/>
        </w:rPr>
        <w:t xml:space="preserve">HOW THE SYSTEM LEARNS WITHOUT DRIFTING</w:t>
      </w:r>
    </w:p>
    <w:p>
      <w:pPr>
        <w:pBdr>
          <w:top w:val="single" w:color="DDD9CE" w:sz="4"/>
          <w:bottom w:val="single" w:color="DDD9CE" w:sz="4"/>
          <w:left w:val="single" w:color="DDD9CE" w:sz="4"/>
          <w:right w:val="single" w:color="DDD9CE" w:sz="4"/>
        </w:pBdr>
        <w:spacing w:after="160"/>
        <w:jc w:val="center"/>
      </w:pPr>
      <w:r>
        <w:drawing>
          <wp:inline distT="0" distB="0" distL="0" distR="0">
            <wp:extent cx="59436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Two properties make this audit-defensible: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every human override becomes an eval case (the system is permanently tested against its own history), and nothing learns silently — an exemplar enters the runtime path only through the eval gate plus SME sign-off, versioned.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11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The console (what users see)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A reviewer should never need to know what a package_ref is. The console (a single static page over the local API on 127.0.0.1:8400) walks them through it: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Run a control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 — cards for every approved plan. Selecting one shows exactly what evidence that plan expects — each required item with its description and the name patterns the matcher looks for — plus what the plan excludes from scope. This is the answer to “what do I upload?”: the frozen plan itself tells them.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Provide evidence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 — drag-and-drop upload or point at a folder already on the machine.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Live run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 — the ledger streams into the page as it happens: ingest counts, match results, sentinel anomalies, each check's tool calls, verifier agreement, the citation gate.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Verdict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 — findings table with verdict chips, citations (Recon!B30339, email line 1), gaps, exceptions, and the one-click audit-pack download.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Evaluation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 — run the harness, see the five gates.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Governance</w:t>
      </w:r>
      <w:r>
        <w:rPr>
          <w:rFonts w:ascii="Calibri" w:cs="Calibri" w:eastAsia="Calibri" w:hAnsi="Calibri"/>
          <w:color w:val="1C2321"/>
          <w:sz w:val="21"/>
          <w:szCs w:val="21"/>
        </w:rPr>
        <w:t xml:space="preserve"> — the exception queue feeding the Golden Library, and the approved-plan register.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From VS Code: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open the repo, press F5 — launch configs exist for the console, a real-package run, and the eval harness. </w:t>
      </w:r>
      <w:r>
        <w:rPr>
          <w:rFonts w:ascii="Consolas" w:cs="Consolas" w:eastAsia="Consolas" w:hAnsi="Consolas"/>
          <w:color w:val="0A5546"/>
          <w:sz w:val="19"/>
          <w:szCs w:val="19"/>
          <w:shd w:fill="EEECE4" w:val="clear"/>
        </w:rPr>
        <w:t xml:space="preserve">python -m iqr.cli serve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does the same from any terminal.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12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The seven invariants (these are the product)</w:t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500"/>
        <w:gridCol w:w="4600"/>
        <w:gridCol w:w="4260"/>
      </w:tblGrid>
      <w:tr>
        <w:trPr>
          <w:tblHeader/>
        </w:trPr>
        <w:tc>
          <w:tcPr>
            <w:tcW w:type="dxa" w:w="5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#</w:t>
            </w:r>
          </w:p>
        </w:tc>
        <w:tc>
          <w:tcPr>
            <w:tcW w:type="dxa" w:w="46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INVARIANT</w:t>
            </w:r>
          </w:p>
        </w:tc>
        <w:tc>
          <w:tcPr>
            <w:tcW w:type="dxa" w:w="426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ENFORCED BY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No model math — numeric paths contain zero model calls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model-call counter asserted untouched in tests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Citation gate — non-resolving citations never enter a verdict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mechanical gate + fabricated-locator test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Reproducibility — same pack + plan → identical verdict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fingerprint equality across runs, temperature 0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Honest missing — absent required evidence → gap, never pass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match node contract + tests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Scope respected — excluded items never flagged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match + sentinel honor exclusions; tested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Blinded verify — critic never sees executor reasoning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input type structurally excludes it; tested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Chain of custody — SHA-256 at ingest, hash in citations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content-addressed store + tests</w:t>
            </w:r>
          </w:p>
        </w:tc>
      </w:tr>
    </w:tbl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13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POC status on real evidence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Validated against the actual April/Q2 FY26 packages (full detail: docs/REAL_VALIDATION.md):</w:t>
      </w:r>
    </w:p>
    <w:tbl>
      <w:tblPr>
        <w:tblW w:type="dxa" w:w="9360"/>
        <w:tblBorders>
          <w:top w:val="single" w:color="DDD9CE" w:sz="4"/>
          <w:left w:val="single" w:color="DDD9CE" w:sz="4"/>
          <w:bottom w:val="single" w:color="DDD9CE" w:sz="4"/>
          <w:right w:val="single" w:color="DDD9CE" w:sz="4"/>
          <w:insideH w:val="single" w:color="DDD9CE" w:sz="4"/>
          <w:insideV w:val="single" w:color="DDD9CE" w:sz="4"/>
        </w:tblBorders>
      </w:tblPr>
      <w:tblGrid>
        <w:gridCol w:w="3300"/>
        <w:gridCol w:w="2660"/>
        <w:gridCol w:w="3400"/>
      </w:tblGrid>
      <w:tr>
        <w:trPr>
          <w:tblHeader/>
        </w:trPr>
        <w:tc>
          <w:tcPr>
            <w:tcW w:type="dxa" w:w="33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CONTROL 10032 CHECK</w:t>
            </w:r>
          </w:p>
        </w:tc>
        <w:tc>
          <w:tcPr>
            <w:tcW w:type="dxa" w:w="266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VERDICT</w:t>
            </w:r>
          </w:p>
        </w:tc>
        <w:tc>
          <w:tcPr>
            <w:tcW w:type="dxa" w:w="3400"/>
            <w:shd w:fill="F2F0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2605B"/>
                <w:spacing w:val="20"/>
                <w:sz w:val="17"/>
                <w:szCs w:val="17"/>
              </w:rPr>
              <w:t xml:space="preserve">CITATION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BPC↔ODW grand totals agree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A5546"/>
                <w:sz w:val="17"/>
                <w:szCs w:val="17"/>
                <w:shd w:fill="E3EFE9" w:val="clear"/>
              </w:rPr>
              <w:t xml:space="preserve"> PASS </w:t>
            </w:r>
            <w:r>
              <w:rPr>
                <w:rFonts w:ascii="Calibri" w:cs="Calibri" w:eastAsia="Calibri" w:hAnsi="Calibri"/>
                <w:color w:val="1C2321"/>
                <w:sz w:val="19"/>
                <w:szCs w:val="19"/>
              </w:rPr>
              <w:t xml:space="preserve">  8.28e-06 ≤ 0.01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Recon!B30339 · G53656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Delta sums ≈ 0 both sides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A5546"/>
                <w:sz w:val="17"/>
                <w:szCs w:val="17"/>
                <w:shd w:fill="E3EFE9" w:val="clear"/>
              </w:rPr>
              <w:t xml:space="preserve"> PASS 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Recon!D2 · I2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Stat accounts net to zero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A5546"/>
                <w:sz w:val="17"/>
                <w:szCs w:val="17"/>
                <w:shd w:fill="E3EFE9" w:val="clear"/>
              </w:rPr>
              <w:t xml:space="preserve"> PASS 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Stat acct check!D5,E5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Certified run before approval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A5546"/>
                <w:sz w:val="17"/>
                <w:szCs w:val="17"/>
                <w:shd w:fill="E3EFE9" w:val="clear"/>
              </w:rPr>
              <w:t xml:space="preserve"> PASS </w:t>
            </w:r>
            <w:r>
              <w:rPr>
                <w:rFonts w:ascii="Calibri" w:cs="Calibri" w:eastAsia="Calibri" w:hAnsi="Calibri"/>
                <w:color w:val="1C2321"/>
                <w:sz w:val="19"/>
                <w:szCs w:val="19"/>
              </w:rPr>
              <w:t xml:space="preserve">  GMT in-cell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Summary!D13 vs .msg date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Segregation of duties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A5546"/>
                <w:sz w:val="17"/>
                <w:szCs w:val="17"/>
                <w:shd w:fill="E3EFE9" w:val="clear"/>
              </w:rPr>
              <w:t xml:space="preserve"> PASS 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A5546"/>
                <w:sz w:val="18"/>
                <w:szCs w:val="18"/>
              </w:rPr>
              <w:t xml:space="preserve">Summary!D14 vs .msg sender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Approval language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A5546"/>
                <w:sz w:val="17"/>
                <w:szCs w:val="17"/>
                <w:shd w:fill="E3EFE9" w:val="clear"/>
              </w:rPr>
              <w:t xml:space="preserve"> PASS 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.msg body line 1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Reviewer checklist attached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0A5546"/>
                <w:sz w:val="17"/>
                <w:szCs w:val="17"/>
                <w:shd w:fill="E3EFE9" w:val="clear"/>
              </w:rPr>
              <w:t xml:space="preserve"> PRESENT 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C2321"/>
                <w:sz w:val="19"/>
                <w:szCs w:val="19"/>
              </w:rPr>
              <w:t xml:space="preserve">nested in .msg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10075: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6-email sign-off chain parsed with line citations (including “one exception noted and immediately resolved”), 44-tab IPE ingested, 245 images extracted. </w:t>
      </w: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23024: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the 404's 184 MB embedded rebate workbook surfaced as first-class evidence via streaming OLE ingestion. Plan v2.0.0 for 10032 is frozen with real locators; the full E2E run executes through the console/CLI.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Honest limits: 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OCR reads provenance (system banners, hostnames, report names) reliably, not small-font digits — numeric ties come from certified workbook cells by design. Timezone semantics are pinned per control by the SME in the plan. Free-text 404 compilation needs the production model seat.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 w:val="false"/>
          <w:bCs w:val="false"/>
          <w:color w:val="0E6E5C"/>
          <w:sz w:val="20"/>
          <w:szCs w:val="20"/>
        </w:rPr>
        <w:t xml:space="preserve">14  </w:t>
      </w:r>
      <w:r>
        <w:rPr>
          <w:rFonts w:ascii="Georgia" w:cs="Georgia" w:eastAsia="Georgia" w:hAnsi="Georgia"/>
          <w:b/>
          <w:bCs/>
          <w:color w:val="1C2321"/>
          <w:sz w:val="32"/>
          <w:szCs w:val="32"/>
        </w:rPr>
        <w:t xml:space="preserve">Deployment</w:t>
      </w:r>
    </w:p>
    <w:p>
      <w:pPr>
        <w:spacing w:after="120" w:line="300"/>
      </w:pPr>
      <w:r>
        <w:rPr>
          <w:rFonts w:ascii="Calibri" w:cs="Calibri" w:eastAsia="Calibri" w:hAnsi="Calibri"/>
          <w:color w:val="1C2321"/>
          <w:sz w:val="22"/>
          <w:szCs w:val="22"/>
        </w:rPr>
        <w:t xml:space="preserve">The step-by-step deployment guide (prerequisites, install, offline gates, model configuration, console, troubleshooting, production hardening) is maintained as its own document: </w:t>
      </w:r>
      <w:r>
        <w:rPr>
          <w:rFonts w:ascii="Calibri" w:cs="Calibri" w:eastAsia="Calibri" w:hAnsi="Calibri"/>
          <w:b/>
          <w:bCs/>
          <w:color w:val="1C2321"/>
          <w:sz w:val="22"/>
          <w:szCs w:val="22"/>
        </w:rPr>
        <w:t xml:space="preserve">IQR Deployment Guide</w:t>
      </w:r>
      <w:r>
        <w:rPr>
          <w:rFonts w:ascii="Calibri" w:cs="Calibri" w:eastAsia="Calibri" w:hAnsi="Calibri"/>
          <w:color w:val="1C2321"/>
          <w:sz w:val="22"/>
          <w:szCs w:val="22"/>
        </w:rPr>
        <w:t xml:space="preserve"> (docs/DEPLOYMENT.md and the companion Word document).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  <w:lvl w:ilvl="1" w15:tentative="1">
      <w:start w:val="1"/>
      <w:numFmt w:val="bullet"/>
      <w:lvlText w:val="◦"/>
      <w:lvlJc w:val="star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3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6eb0f2e3761eea14708025c053b4a95ae2ddaf.png"/><Relationship Id="rId8" Type="http://schemas.openxmlformats.org/officeDocument/2006/relationships/image" Target="media/e9e3f23d234fb18cf6a0cb8830d0056e7c9e0bef.png"/><Relationship Id="rId9" Type="http://schemas.openxmlformats.org/officeDocument/2006/relationships/image" Target="media/6a1de04c6015420343cab27d26d2c4418f9a704b.png"/><Relationship Id="rId10" Type="http://schemas.openxmlformats.org/officeDocument/2006/relationships/image" Target="media/7baa32f5ea24b514eecf93c3832960cf8eb27dd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2026-08-26T21:44:05.653Z</dcterms:created>
  <dcterms:modified xsi:type="dcterms:W3CDTF">2026-08-26T21:44:05.654Z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