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Bug Report Classification with a Linear SVM and Enriched Text Features</w:t>
      </w:r>
    </w:p>
    <w:p>
      <w:pPr>
        <w:jc w:val="center"/>
      </w:pPr>
      <w:r>
        <w:rPr>
          <w:rFonts w:ascii="Times New Roman" w:hAnsi="Times New Roman"/>
          <w:b w:val="0"/>
          <w:i w:val="0"/>
          <w:sz w:val="20"/>
        </w:rPr>
        <w:t>Kanishk Suri, University of Birmingham, April 2026</w:t>
      </w:r>
    </w:p>
    <w:p>
      <w:pPr>
        <w:spacing w:before="40" w:after="120"/>
      </w:pPr>
      <w:r>
        <w:rPr>
          <w:color w:val="AAAAAA"/>
          <w:sz w:val="14"/>
        </w:rPr>
        <w:t>────────────────────────────────────────────────────────────────────────────────</w:t>
      </w:r>
    </w:p>
    <w:p>
      <w:pPr>
        <w:pStyle w:val="Heading1"/>
      </w:pPr>
      <w:r>
        <w:rPr>
          <w:rFonts w:ascii="Times New Roman" w:hAnsi="Times New Roman"/>
          <w:color w:val="2C3E50"/>
        </w:rPr>
        <w:t>1  Introduction</w:t>
      </w:r>
    </w:p>
    <w:p>
      <w:pPr>
        <w:spacing w:after="120"/>
        <w:jc w:val="both"/>
      </w:pPr>
      <w:r>
        <w:rPr>
          <w:rFonts w:ascii="Times New Roman" w:hAnsi="Times New Roman"/>
          <w:b w:val="0"/>
          <w:i w:val="0"/>
          <w:sz w:val="20"/>
        </w:rPr>
        <w:t>Bug reports are how users tell developers what is going wrong with a piece of software. On large open-source projects, hundreds or thousands of new reports arrive every day on trackers such as GitHub, JIRA and Bugzilla. A human triager has to read each one and decide what type of bug it is, who should look at it and how urgent it is. As reports pile up, this manual step becomes a real bottleneck and reports often get mislabelled or sit untouched [1].</w:t>
      </w:r>
    </w:p>
    <w:p>
      <w:pPr>
        <w:spacing w:after="120"/>
        <w:jc w:val="both"/>
      </w:pPr>
      <w:r>
        <w:rPr>
          <w:rFonts w:ascii="Times New Roman" w:hAnsi="Times New Roman"/>
          <w:b w:val="0"/>
          <w:i w:val="0"/>
          <w:sz w:val="20"/>
        </w:rPr>
        <w:t>This work looks at the first step of that pipeline, putting each incoming report into one of four categories (hardware_bug, os_bug, platform_bug, ui_bug). I compare the Naive Bayes + TF-IDF classifier from Lab 1 [2] against a Linear SVM that uses bigrams, character n-grams and a small set of hand-picked text statistics. The two are evaluated with 10-fold cross-validation and the Wilcoxon signed-rank test [8].</w:t>
      </w:r>
    </w:p>
    <w:p>
      <w:pPr>
        <w:spacing w:after="120"/>
        <w:jc w:val="both"/>
      </w:pPr>
      <w:r>
        <w:rPr>
          <w:rFonts w:ascii="Times New Roman" w:hAnsi="Times New Roman"/>
          <w:b w:val="0"/>
          <w:i w:val="0"/>
          <w:sz w:val="20"/>
        </w:rPr>
        <w:t>Classification was chosen because most of the later steps in bug management (assignment, duplicate detection, fix-time prediction) assume the report has already been correctly labelled [3]. A small accuracy gain at this point therefore propagates into the rest of the pipeline.</w:t>
      </w:r>
    </w:p>
    <w:p>
      <w:pPr>
        <w:pStyle w:val="Heading1"/>
      </w:pPr>
      <w:r>
        <w:rPr>
          <w:rFonts w:ascii="Times New Roman" w:hAnsi="Times New Roman"/>
          <w:color w:val="2C3E50"/>
        </w:rPr>
        <w:t>2  Related Work</w:t>
      </w:r>
    </w:p>
    <w:p>
      <w:pPr>
        <w:spacing w:after="120"/>
        <w:jc w:val="both"/>
      </w:pPr>
      <w:r>
        <w:rPr>
          <w:rFonts w:ascii="Times New Roman" w:hAnsi="Times New Roman"/>
          <w:b w:val="0"/>
          <w:i w:val="0"/>
          <w:sz w:val="20"/>
        </w:rPr>
        <w:t>Bug report classification has been studied since at least Anvik et al. [1], who used Naive Bayes for the related problem of bug assignment in Eclipse and reached around 64% accuracy. Naive Bayes paired with TF-IDF has stuck around as the standard baseline because it is fast and handles sparse high-dimensional input without much tuning. Its known weakness is the conditional independence assumption: NB cannot exploit the fact that, for example, "kernel" and "panic" almost always appear together in OS-level reports.</w:t>
      </w:r>
    </w:p>
    <w:p>
      <w:pPr>
        <w:spacing w:after="120"/>
        <w:jc w:val="both"/>
      </w:pPr>
      <w:r>
        <w:rPr>
          <w:rFonts w:ascii="Times New Roman" w:hAnsi="Times New Roman"/>
          <w:b w:val="0"/>
          <w:i w:val="0"/>
          <w:sz w:val="20"/>
        </w:rPr>
        <w:t>Joachims [4] showed that SVMs tend to outperform Naive Bayes on text classification, and Limsettho et al. [2] saw the same effect on bug reports specifically. Tian et al. [3] (DRONE) went further by combining the report text with structured metadata such as reporter history and component for priority prediction, which suggests that non-textual fields are useful but also that they need a richer dataset than is publicly available for many projects. Zhang et al. [6] showed that character-level n-grams are useful for short noisy text because they pick up sub-word patterns (suffixes such as "Exception", "Fault" or "Panic") that word tokenisation cuts off.</w:t>
      </w:r>
    </w:p>
    <w:p>
      <w:pPr>
        <w:spacing w:after="120"/>
        <w:jc w:val="both"/>
      </w:pPr>
      <w:r>
        <w:rPr>
          <w:rFonts w:ascii="Times New Roman" w:hAnsi="Times New Roman"/>
          <w:b w:val="0"/>
          <w:i w:val="0"/>
          <w:sz w:val="20"/>
        </w:rPr>
        <w:t>More recent work uses pre-trained language models. BERT [5] and similar transformer encoders typically push accuracy higher than linear models, but they need GPUs and a fine-tuning loop, which is not always practical. A separate line of work uses dense embeddings such as GloVe [10] and Word2Vec [11] together with deeper architectures, for example the hierarchical attention network of Lam et al. [12]. These give better accuracy in exchange for needing pre-trained vectors and a more complex training setup. For a small coursework tool, sparse TF-IDF features keep the pipeline simple and easy to inspect, so I stayed with TF-IDF rather than moving to embeddings.</w:t>
      </w:r>
    </w:p>
    <w:p>
      <w:pPr>
        <w:pStyle w:val="Heading1"/>
      </w:pPr>
      <w:r>
        <w:rPr>
          <w:rFonts w:ascii="Times New Roman" w:hAnsi="Times New Roman"/>
          <w:color w:val="2C3E50"/>
        </w:rPr>
        <w:t>3  Solution</w:t>
      </w:r>
    </w:p>
    <w:p>
      <w:pPr>
        <w:pStyle w:val="Heading2"/>
      </w:pPr>
      <w:r>
        <w:rPr>
          <w:rFonts w:ascii="Times New Roman" w:hAnsi="Times New Roman"/>
          <w:color w:val="2C3E50"/>
        </w:rPr>
        <w:t>3.1  Feature Engineering</w:t>
      </w:r>
    </w:p>
    <w:p>
      <w:pPr>
        <w:spacing w:after="120"/>
        <w:jc w:val="both"/>
      </w:pPr>
      <w:r>
        <w:rPr>
          <w:rFonts w:ascii="Times New Roman" w:hAnsi="Times New Roman"/>
          <w:b w:val="0"/>
          <w:i w:val="0"/>
          <w:sz w:val="20"/>
        </w:rPr>
        <w:t>The classifier sees three feature groups concatenated through scikit-learn FeatureUnion:</w:t>
      </w:r>
    </w:p>
    <w:p>
      <w:pPr>
        <w:pStyle w:val="ListBullet"/>
        <w:spacing w:after="60"/>
      </w:pPr>
      <w:r>
        <w:rPr>
          <w:rFonts w:ascii="Times New Roman" w:hAnsi="Times New Roman"/>
          <w:b/>
          <w:i w:val="0"/>
          <w:sz w:val="20"/>
        </w:rPr>
        <w:t xml:space="preserve">(1) </w:t>
      </w:r>
      <w:r>
        <w:rPr>
          <w:rFonts w:ascii="Times New Roman" w:hAnsi="Times New Roman"/>
          <w:b w:val="0"/>
          <w:i w:val="0"/>
          <w:sz w:val="20"/>
        </w:rPr>
        <w:t>Word TF-IDF with bigrams. ngram_range=(1,2), sublinear TF scaling, max 50,000 features, min_df=2. The bigrams pick up short phrases that map directly to a class such as "kernel panic" for OS bugs or "null pointer" for platform bugs. Sublinear scaling tones down the very common tokens.</w:t>
      </w:r>
    </w:p>
    <w:p>
      <w:pPr>
        <w:pStyle w:val="ListBullet"/>
        <w:spacing w:after="60"/>
      </w:pPr>
      <w:r>
        <w:rPr>
          <w:rFonts w:ascii="Times New Roman" w:hAnsi="Times New Roman"/>
          <w:b/>
          <w:i w:val="0"/>
          <w:sz w:val="20"/>
        </w:rPr>
        <w:t xml:space="preserve">(2) </w:t>
      </w:r>
      <w:r>
        <w:rPr>
          <w:rFonts w:ascii="Times New Roman" w:hAnsi="Times New Roman"/>
          <w:b w:val="0"/>
          <w:i w:val="0"/>
          <w:sz w:val="20"/>
        </w:rPr>
        <w:t>Character n-gram TF-IDF. analyzer='char_wb', ngram_range=(2,4), max 30,000 features, min_df=3. Character n-grams handle typos and pick up technical fragments (e.g. "BIOS", "Xorg", driver suffixes) that word tokenisation breaks apart.</w:t>
      </w:r>
    </w:p>
    <w:p>
      <w:pPr>
        <w:pStyle w:val="ListBullet"/>
        <w:spacing w:after="60"/>
      </w:pPr>
      <w:r>
        <w:rPr>
          <w:rFonts w:ascii="Times New Roman" w:hAnsi="Times New Roman"/>
          <w:b/>
          <w:i w:val="0"/>
          <w:sz w:val="20"/>
        </w:rPr>
        <w:t xml:space="preserve">(3) </w:t>
      </w:r>
      <w:r>
        <w:rPr>
          <w:rFonts w:ascii="Times New Roman" w:hAnsi="Times New Roman"/>
          <w:b w:val="0"/>
          <w:i w:val="0"/>
          <w:sz w:val="20"/>
        </w:rPr>
        <w:t>Text statistics. Eight numbers per report: character length, word count, newline count, uppercase count, digit count and how many times the words "error", "bug" and "fix" appear. These help the classifier notice structural cues such as long reports with stack traces in them.</w:t>
      </w:r>
    </w:p>
    <w:p>
      <w:pPr>
        <w:spacing w:after="120"/>
        <w:jc w:val="both"/>
      </w:pPr>
      <w:r>
        <w:rPr>
          <w:rFonts w:ascii="Times New Roman" w:hAnsi="Times New Roman"/>
          <w:b w:val="0"/>
          <w:i w:val="0"/>
          <w:sz w:val="20"/>
        </w:rPr>
        <w:t>The three groups are stacked horizontally and then passed through a MaxAbsScaler so that the SVM optimiser is not dominated by the largest features.</w:t>
      </w:r>
    </w:p>
    <w:p>
      <w:pPr>
        <w:pStyle w:val="Heading2"/>
      </w:pPr>
      <w:r>
        <w:rPr>
          <w:rFonts w:ascii="Times New Roman" w:hAnsi="Times New Roman"/>
          <w:color w:val="2C3E50"/>
        </w:rPr>
        <w:t>3.2  Classifier</w:t>
      </w:r>
    </w:p>
    <w:p>
      <w:pPr>
        <w:spacing w:after="120"/>
        <w:jc w:val="both"/>
      </w:pPr>
      <w:r>
        <w:rPr>
          <w:rFonts w:ascii="Times New Roman" w:hAnsi="Times New Roman"/>
          <w:b w:val="0"/>
          <w:i w:val="0"/>
          <w:sz w:val="20"/>
        </w:rPr>
        <w:t>I use LinearSVC from scikit-learn (LibLinear backend), with C=1.0, tolerance 1e-3 and a 50,000 iteration cap. Multi-class is handled with one-vs-rest. LinearSVC was preferred over a kernel SVM because the concatenated TF-IDF feature space is already very high-dimensional, so a linear decision boundary is usually enough [4]. The margin objective also avoids the conditional-independence assumption that limits Naive Bayes.</w:t>
      </w:r>
    </w:p>
    <w:p>
      <w:pPr>
        <w:spacing w:after="120"/>
        <w:jc w:val="both"/>
      </w:pPr>
      <w:r>
        <w:rPr>
          <w:rFonts w:ascii="Times New Roman" w:hAnsi="Times New Roman"/>
          <w:b w:val="0"/>
          <w:i w:val="0"/>
          <w:sz w:val="20"/>
        </w:rPr>
        <w:t>The full pipeline is:</w:t>
      </w:r>
    </w:p>
    <w:p>
      <w:pPr>
        <w:spacing w:after="80"/>
        <w:ind w:left="567"/>
      </w:pPr>
      <w:r>
        <w:rPr>
          <w:rFonts w:ascii="Courier New" w:hAnsi="Courier New"/>
          <w:sz w:val="17"/>
        </w:rPr>
        <w:t xml:space="preserve">  FeatureUnion(word_tfidf, char_tfidf, text_stats)</w:t>
        <w:br/>
        <w:t xml:space="preserve">  -&gt; MaxAbsScaler</w:t>
        <w:br/>
        <w:t xml:space="preserve">  -&gt; LinearSVC(C=1.0)</w:t>
      </w:r>
    </w:p>
    <w:p>
      <w:pPr>
        <w:pStyle w:val="Heading1"/>
      </w:pPr>
      <w:r>
        <w:rPr>
          <w:rFonts w:ascii="Times New Roman" w:hAnsi="Times New Roman"/>
          <w:color w:val="2C3E50"/>
        </w:rPr>
        <w:t>4  Setup</w:t>
      </w:r>
    </w:p>
    <w:p>
      <w:pPr>
        <w:spacing w:after="120"/>
        <w:jc w:val="both"/>
      </w:pPr>
      <w:r>
        <w:rPr>
          <w:rFonts w:ascii="Times New Roman" w:hAnsi="Times New Roman"/>
          <w:b/>
          <w:i w:val="0"/>
          <w:sz w:val="20"/>
        </w:rPr>
        <w:t xml:space="preserve">Dataset. </w:t>
      </w:r>
      <w:r>
        <w:rPr>
          <w:rFonts w:ascii="Times New Roman" w:hAnsi="Times New Roman"/>
          <w:b w:val="0"/>
          <w:i w:val="0"/>
          <w:sz w:val="20"/>
        </w:rPr>
        <w:t>I generate a synthetic corpus of 3,000 reports (750 per class) for the four categories hardware_bug, os_bug, platform_bug and ui_bug. Each report is built by picking a sentence template at random and filling in slots for component names, error types, action verbs and a closing sentence. The templates and vocabulary are fixed and the random seed is 42, so the same dataset is produced on every run. Using a synthetic corpus side-steps data licensing and keeps class balance tight, but it does mean the reports are more uniform than real-world ones; this is discussed in Section 6.</w:t>
      </w:r>
    </w:p>
    <w:p>
      <w:pPr>
        <w:spacing w:after="120"/>
        <w:jc w:val="both"/>
      </w:pPr>
      <w:r>
        <w:rPr>
          <w:rFonts w:ascii="Times New Roman" w:hAnsi="Times New Roman"/>
          <w:b/>
          <w:i w:val="0"/>
          <w:sz w:val="20"/>
        </w:rPr>
        <w:t xml:space="preserve">Baseline. </w:t>
      </w:r>
      <w:r>
        <w:rPr>
          <w:rFonts w:ascii="Times New Roman" w:hAnsi="Times New Roman"/>
          <w:b w:val="0"/>
          <w:i w:val="0"/>
          <w:sz w:val="20"/>
        </w:rPr>
        <w:t>Multinomial Naive Bayes with unigram TF-IDF (max_features=50,000, English stop-word removal, min_df=2, alpha=1.0). This matches the Lab 1 setup.</w:t>
      </w:r>
    </w:p>
    <w:p>
      <w:pPr>
        <w:spacing w:after="120"/>
        <w:jc w:val="both"/>
      </w:pPr>
      <w:r>
        <w:rPr>
          <w:rFonts w:ascii="Times New Roman" w:hAnsi="Times New Roman"/>
          <w:b/>
          <w:i w:val="0"/>
          <w:sz w:val="20"/>
        </w:rPr>
        <w:t xml:space="preserve">Metrics. </w:t>
      </w:r>
      <w:r>
        <w:rPr>
          <w:rFonts w:ascii="Times New Roman" w:hAnsi="Times New Roman"/>
          <w:b w:val="0"/>
          <w:i w:val="0"/>
          <w:sz w:val="20"/>
        </w:rPr>
        <w:t>Accuracy, Macro-averaged F1 and Matthews Correlation Coefficient (MCC). Accuracy is the obvious starting point. Macro-F1 weights the per-class F1 scores equally, so a class with poor recall cannot hide behind a high overall accuracy. MCC takes all four cells of the confusion matrix into account and tends to be more honest on multi-class problems [7].</w:t>
      </w:r>
    </w:p>
    <w:p>
      <w:pPr>
        <w:spacing w:after="120"/>
        <w:jc w:val="both"/>
      </w:pPr>
      <w:r>
        <w:rPr>
          <w:rFonts w:ascii="Times New Roman" w:hAnsi="Times New Roman"/>
          <w:b/>
          <w:i w:val="0"/>
          <w:sz w:val="20"/>
        </w:rPr>
        <w:t xml:space="preserve">Protocol. </w:t>
      </w:r>
      <w:r>
        <w:rPr>
          <w:rFonts w:ascii="Times New Roman" w:hAnsi="Times New Roman"/>
          <w:b w:val="0"/>
          <w:i w:val="0"/>
          <w:sz w:val="20"/>
        </w:rPr>
        <w:t>Stratified 10-fold cross-validation with seed 42 is the main protocol. A separate 80/20 stratified split is used for the held-out evaluation in Section 5.3. For the statistical comparison I use the two-tailed Wilcoxon signed-rank test [8] at alpha=0.05, applied to the 10 paired per-fold scores. The Wilcoxon test was covered in the lectures on evaluation; it is non-parametric, paired and does not assume normality, which fits per-fold scores well [9].</w:t>
      </w:r>
    </w:p>
    <w:p>
      <w:pPr>
        <w:pStyle w:val="Heading1"/>
      </w:pPr>
      <w:r>
        <w:rPr>
          <w:rFonts w:ascii="Times New Roman" w:hAnsi="Times New Roman"/>
          <w:color w:val="2C3E50"/>
        </w:rPr>
        <w:t>5  Experiments</w:t>
      </w:r>
    </w:p>
    <w:p>
      <w:pPr>
        <w:pStyle w:val="Heading2"/>
      </w:pPr>
      <w:r>
        <w:rPr>
          <w:rFonts w:ascii="Times New Roman" w:hAnsi="Times New Roman"/>
          <w:color w:val="2C3E50"/>
        </w:rPr>
        <w:t>5.1  Cross-Validation Results</w:t>
      </w:r>
    </w:p>
    <w:p>
      <w:pPr>
        <w:spacing w:after="120"/>
        <w:jc w:val="both"/>
      </w:pPr>
      <w:r>
        <w:rPr>
          <w:rFonts w:ascii="Times New Roman" w:hAnsi="Times New Roman"/>
          <w:b w:val="0"/>
          <w:i w:val="0"/>
          <w:sz w:val="20"/>
        </w:rPr>
        <w:t>Table 1 reports the mean and standard deviation across the 10 folds.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2c3e50"/>
          </w:tcPr>
          <w:p>
            <w:r>
              <w:rPr>
                <w:rFonts w:ascii="Times New Roman" w:hAnsi="Times New Roman"/>
                <w:b/>
                <w:color w:val="FFFFFF"/>
                <w:sz w:val="18"/>
              </w:rPr>
              <w:t>Approach</w:t>
            </w:r>
          </w:p>
        </w:tc>
        <w:tc>
          <w:tcPr>
            <w:tcW w:type="dxa" w:w="2353"/>
            <w:shd w:val="clear" w:color="auto" w:fill="2c3e50"/>
          </w:tcPr>
          <w:p>
            <w:r>
              <w:rPr>
                <w:rFonts w:ascii="Times New Roman" w:hAnsi="Times New Roman"/>
                <w:b/>
                <w:color w:val="FFFFFF"/>
                <w:sz w:val="18"/>
              </w:rPr>
              <w:t>Accuracy</w:t>
            </w:r>
          </w:p>
        </w:tc>
        <w:tc>
          <w:tcPr>
            <w:tcW w:type="dxa" w:w="2353"/>
            <w:shd w:val="clear" w:color="auto" w:fill="2c3e50"/>
          </w:tcPr>
          <w:p>
            <w:r>
              <w:rPr>
                <w:rFonts w:ascii="Times New Roman" w:hAnsi="Times New Roman"/>
                <w:b/>
                <w:color w:val="FFFFFF"/>
                <w:sz w:val="18"/>
              </w:rPr>
              <w:t>Macro-F1</w:t>
            </w:r>
          </w:p>
        </w:tc>
        <w:tc>
          <w:tcPr>
            <w:tcW w:type="dxa" w:w="2353"/>
            <w:shd w:val="clear" w:color="auto" w:fill="2c3e50"/>
          </w:tcPr>
          <w:p>
            <w:r>
              <w:rPr>
                <w:rFonts w:ascii="Times New Roman" w:hAnsi="Times New Roman"/>
                <w:b/>
                <w:color w:val="FFFFFF"/>
                <w:sz w:val="18"/>
              </w:rPr>
              <w:t>MCC</w:t>
            </w:r>
          </w:p>
        </w:tc>
      </w:tr>
      <w:tr>
        <w:tc>
          <w:tcPr>
            <w:tcW w:type="dxa" w:w="2353"/>
          </w:tcPr>
          <w:p>
            <w:r>
              <w:rPr>
                <w:rFonts w:ascii="Times New Roman" w:hAnsi="Times New Roman"/>
                <w:sz w:val="18"/>
              </w:rPr>
              <w:t>Baseline (NB + TF-IDF)</w:t>
            </w:r>
          </w:p>
        </w:tc>
        <w:tc>
          <w:tcPr>
            <w:tcW w:type="dxa" w:w="2353"/>
          </w:tcPr>
          <w:p>
            <w:r>
              <w:rPr>
                <w:rFonts w:ascii="Times New Roman" w:hAnsi="Times New Roman"/>
                <w:sz w:val="18"/>
              </w:rPr>
              <w:t>0.9793 +/- 0.0083</w:t>
            </w:r>
          </w:p>
        </w:tc>
        <w:tc>
          <w:tcPr>
            <w:tcW w:type="dxa" w:w="2353"/>
          </w:tcPr>
          <w:p>
            <w:r>
              <w:rPr>
                <w:rFonts w:ascii="Times New Roman" w:hAnsi="Times New Roman"/>
                <w:sz w:val="18"/>
              </w:rPr>
              <w:t>0.9793 +/- 0.0084</w:t>
            </w:r>
          </w:p>
        </w:tc>
        <w:tc>
          <w:tcPr>
            <w:tcW w:type="dxa" w:w="2353"/>
          </w:tcPr>
          <w:p>
            <w:r>
              <w:rPr>
                <w:rFonts w:ascii="Times New Roman" w:hAnsi="Times New Roman"/>
                <w:sz w:val="18"/>
              </w:rPr>
              <w:t>0.9726 +/- 0.0110</w:t>
            </w:r>
          </w:p>
        </w:tc>
      </w:tr>
      <w:tr>
        <w:tc>
          <w:tcPr>
            <w:tcW w:type="dxa" w:w="2353"/>
          </w:tcPr>
          <w:p>
            <w:r>
              <w:rPr>
                <w:rFonts w:ascii="Times New Roman" w:hAnsi="Times New Roman"/>
                <w:sz w:val="18"/>
              </w:rPr>
              <w:t>Solution (SVC + enriched)</w:t>
            </w:r>
          </w:p>
        </w:tc>
        <w:tc>
          <w:tcPr>
            <w:tcW w:type="dxa" w:w="2353"/>
          </w:tcPr>
          <w:p>
            <w:r>
              <w:rPr>
                <w:rFonts w:ascii="Times New Roman" w:hAnsi="Times New Roman"/>
                <w:sz w:val="18"/>
              </w:rPr>
              <w:t>1.0000 +/- 0.0000</w:t>
            </w:r>
          </w:p>
        </w:tc>
        <w:tc>
          <w:tcPr>
            <w:tcW w:type="dxa" w:w="2353"/>
          </w:tcPr>
          <w:p>
            <w:r>
              <w:rPr>
                <w:rFonts w:ascii="Times New Roman" w:hAnsi="Times New Roman"/>
                <w:sz w:val="18"/>
              </w:rPr>
              <w:t>1.0000 +/- 0.0000</w:t>
            </w:r>
          </w:p>
        </w:tc>
        <w:tc>
          <w:tcPr>
            <w:tcW w:type="dxa" w:w="2353"/>
          </w:tcPr>
          <w:p>
            <w:r>
              <w:rPr>
                <w:rFonts w:ascii="Times New Roman" w:hAnsi="Times New Roman"/>
                <w:sz w:val="18"/>
              </w:rPr>
              <w:t>1.0000 +/- 0.0000</w:t>
            </w:r>
          </w:p>
        </w:tc>
      </w:tr>
    </w:tbl>
    <w:p/>
    <w:p>
      <w:pPr>
        <w:spacing w:after="120"/>
        <w:jc w:val="both"/>
      </w:pPr>
      <w:r>
        <w:rPr>
          <w:rFonts w:ascii="Times New Roman" w:hAnsi="Times New Roman"/>
          <w:b w:val="0"/>
          <w:i w:val="0"/>
          <w:sz w:val="20"/>
        </w:rPr>
        <w:t>Table 1. 10-fold cross-validation results.</w:t>
      </w:r>
    </w:p>
    <w:p>
      <w:pPr>
        <w:spacing w:after="120"/>
        <w:jc w:val="both"/>
      </w:pPr>
      <w:r>
        <w:rPr>
          <w:rFonts w:ascii="Times New Roman" w:hAnsi="Times New Roman"/>
          <w:b w:val="0"/>
          <w:i w:val="0"/>
          <w:sz w:val="20"/>
        </w:rPr>
        <w:t>The solution gets every fold right, beating the baseline by roughly 0.02 in Accuracy and Macro-F1 and by 0.027 in MCC. The baseline is already strong at 97.9%, which is mainly a property of the dataset: the four classes use fairly distinct vocabulary, so even a unigram bag-of-words separates them well. The remaining handful of mistakes that NB makes are wiped out when the SVM is given character n-grams and bigrams.</w:t>
      </w:r>
    </w:p>
    <w:p>
      <w:pPr>
        <w:pStyle w:val="Heading2"/>
      </w:pPr>
      <w:r>
        <w:rPr>
          <w:rFonts w:ascii="Times New Roman" w:hAnsi="Times New Roman"/>
          <w:color w:val="2C3E50"/>
        </w:rPr>
        <w:t>5.2  Statistical Significance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2c3e50"/>
          </w:tcPr>
          <w:p>
            <w:r>
              <w:rPr>
                <w:rFonts w:ascii="Times New Roman" w:hAnsi="Times New Roman"/>
                <w:b/>
                <w:color w:val="FFFFFF"/>
                <w:sz w:val="18"/>
              </w:rPr>
              <w:t>Metric</w:t>
            </w:r>
          </w:p>
        </w:tc>
        <w:tc>
          <w:tcPr>
            <w:tcW w:type="dxa" w:w="2353"/>
            <w:shd w:val="clear" w:color="auto" w:fill="2c3e50"/>
          </w:tcPr>
          <w:p>
            <w:r>
              <w:rPr>
                <w:rFonts w:ascii="Times New Roman" w:hAnsi="Times New Roman"/>
                <w:b/>
                <w:color w:val="FFFFFF"/>
                <w:sz w:val="18"/>
              </w:rPr>
              <w:t>W statistic</w:t>
            </w:r>
          </w:p>
        </w:tc>
        <w:tc>
          <w:tcPr>
            <w:tcW w:type="dxa" w:w="2353"/>
            <w:shd w:val="clear" w:color="auto" w:fill="2c3e50"/>
          </w:tcPr>
          <w:p>
            <w:r>
              <w:rPr>
                <w:rFonts w:ascii="Times New Roman" w:hAnsi="Times New Roman"/>
                <w:b/>
                <w:color w:val="FFFFFF"/>
                <w:sz w:val="18"/>
              </w:rPr>
              <w:t>p-value</w:t>
            </w:r>
          </w:p>
        </w:tc>
        <w:tc>
          <w:tcPr>
            <w:tcW w:type="dxa" w:w="2353"/>
            <w:shd w:val="clear" w:color="auto" w:fill="2c3e50"/>
          </w:tcPr>
          <w:p>
            <w:r>
              <w:rPr>
                <w:rFonts w:ascii="Times New Roman" w:hAnsi="Times New Roman"/>
                <w:b/>
                <w:color w:val="FFFFFF"/>
                <w:sz w:val="18"/>
              </w:rPr>
              <w:t>Significant (p &lt; 0.05)?</w:t>
            </w:r>
          </w:p>
        </w:tc>
      </w:tr>
      <w:tr>
        <w:tc>
          <w:tcPr>
            <w:tcW w:type="dxa" w:w="2353"/>
          </w:tcPr>
          <w:p>
            <w:r>
              <w:rPr>
                <w:rFonts w:ascii="Times New Roman" w:hAnsi="Times New Roman"/>
                <w:sz w:val="18"/>
              </w:rPr>
              <w:t>Accuracy</w:t>
            </w:r>
          </w:p>
        </w:tc>
        <w:tc>
          <w:tcPr>
            <w:tcW w:type="dxa" w:w="2353"/>
          </w:tcPr>
          <w:p>
            <w:r>
              <w:rPr>
                <w:rFonts w:ascii="Times New Roman" w:hAnsi="Times New Roman"/>
                <w:sz w:val="18"/>
              </w:rPr>
              <w:t>0.00</w:t>
            </w:r>
          </w:p>
        </w:tc>
        <w:tc>
          <w:tcPr>
            <w:tcW w:type="dxa" w:w="2353"/>
          </w:tcPr>
          <w:p>
            <w:r>
              <w:rPr>
                <w:rFonts w:ascii="Times New Roman" w:hAnsi="Times New Roman"/>
                <w:sz w:val="18"/>
              </w:rPr>
              <w:t>0.0020</w:t>
            </w:r>
          </w:p>
        </w:tc>
        <w:tc>
          <w:tcPr>
            <w:tcW w:type="dxa" w:w="2353"/>
          </w:tcPr>
          <w:p>
            <w:r>
              <w:rPr>
                <w:rFonts w:ascii="Times New Roman" w:hAnsi="Times New Roman"/>
                <w:sz w:val="18"/>
              </w:rPr>
              <w:t>Yes</w:t>
            </w:r>
          </w:p>
        </w:tc>
      </w:tr>
      <w:tr>
        <w:tc>
          <w:tcPr>
            <w:tcW w:type="dxa" w:w="2353"/>
          </w:tcPr>
          <w:p>
            <w:r>
              <w:rPr>
                <w:rFonts w:ascii="Times New Roman" w:hAnsi="Times New Roman"/>
                <w:sz w:val="18"/>
              </w:rPr>
              <w:t>Macro-F1</w:t>
            </w:r>
          </w:p>
        </w:tc>
        <w:tc>
          <w:tcPr>
            <w:tcW w:type="dxa" w:w="2353"/>
          </w:tcPr>
          <w:p>
            <w:r>
              <w:rPr>
                <w:rFonts w:ascii="Times New Roman" w:hAnsi="Times New Roman"/>
                <w:sz w:val="18"/>
              </w:rPr>
              <w:t>0.00</w:t>
            </w:r>
          </w:p>
        </w:tc>
        <w:tc>
          <w:tcPr>
            <w:tcW w:type="dxa" w:w="2353"/>
          </w:tcPr>
          <w:p>
            <w:r>
              <w:rPr>
                <w:rFonts w:ascii="Times New Roman" w:hAnsi="Times New Roman"/>
                <w:sz w:val="18"/>
              </w:rPr>
              <w:t>0.0020</w:t>
            </w:r>
          </w:p>
        </w:tc>
        <w:tc>
          <w:tcPr>
            <w:tcW w:type="dxa" w:w="2353"/>
          </w:tcPr>
          <w:p>
            <w:r>
              <w:rPr>
                <w:rFonts w:ascii="Times New Roman" w:hAnsi="Times New Roman"/>
                <w:sz w:val="18"/>
              </w:rPr>
              <w:t>Yes</w:t>
            </w:r>
          </w:p>
        </w:tc>
      </w:tr>
      <w:tr>
        <w:tc>
          <w:tcPr>
            <w:tcW w:type="dxa" w:w="2353"/>
          </w:tcPr>
          <w:p>
            <w:r>
              <w:rPr>
                <w:rFonts w:ascii="Times New Roman" w:hAnsi="Times New Roman"/>
                <w:sz w:val="18"/>
              </w:rPr>
              <w:t>MCC</w:t>
            </w:r>
          </w:p>
        </w:tc>
        <w:tc>
          <w:tcPr>
            <w:tcW w:type="dxa" w:w="2353"/>
          </w:tcPr>
          <w:p>
            <w:r>
              <w:rPr>
                <w:rFonts w:ascii="Times New Roman" w:hAnsi="Times New Roman"/>
                <w:sz w:val="18"/>
              </w:rPr>
              <w:t>0.00</w:t>
            </w:r>
          </w:p>
        </w:tc>
        <w:tc>
          <w:tcPr>
            <w:tcW w:type="dxa" w:w="2353"/>
          </w:tcPr>
          <w:p>
            <w:r>
              <w:rPr>
                <w:rFonts w:ascii="Times New Roman" w:hAnsi="Times New Roman"/>
                <w:sz w:val="18"/>
              </w:rPr>
              <w:t>0.0020</w:t>
            </w:r>
          </w:p>
        </w:tc>
        <w:tc>
          <w:tcPr>
            <w:tcW w:type="dxa" w:w="2353"/>
          </w:tcPr>
          <w:p>
            <w:r>
              <w:rPr>
                <w:rFonts w:ascii="Times New Roman" w:hAnsi="Times New Roman"/>
                <w:sz w:val="18"/>
              </w:rPr>
              <w:t>Yes</w:t>
            </w:r>
          </w:p>
        </w:tc>
      </w:tr>
    </w:tbl>
    <w:p/>
    <w:p>
      <w:pPr>
        <w:spacing w:after="120"/>
        <w:jc w:val="both"/>
      </w:pPr>
      <w:r>
        <w:rPr>
          <w:rFonts w:ascii="Times New Roman" w:hAnsi="Times New Roman"/>
          <w:b w:val="0"/>
          <w:i w:val="0"/>
          <w:sz w:val="20"/>
        </w:rPr>
        <w:t>Table 2. Wilcoxon signed-rank test, two-tailed.</w:t>
      </w:r>
    </w:p>
    <w:p>
      <w:pPr>
        <w:spacing w:after="120"/>
        <w:jc w:val="both"/>
      </w:pPr>
      <w:r>
        <w:rPr>
          <w:rFonts w:ascii="Times New Roman" w:hAnsi="Times New Roman"/>
          <w:b w:val="0"/>
          <w:i w:val="0"/>
          <w:sz w:val="20"/>
        </w:rPr>
        <w:t>All three metrics show a significant improvement at alpha=0.05. The W=0 statistic is the smallest the Wilcoxon signed-rank test can produce and just means the solution scored at least as high as the baseline on every paired fold.</w:t>
      </w:r>
    </w:p>
    <w:p>
      <w:pPr>
        <w:pStyle w:val="Heading2"/>
      </w:pPr>
      <w:r>
        <w:rPr>
          <w:rFonts w:ascii="Times New Roman" w:hAnsi="Times New Roman"/>
          <w:color w:val="2C3E50"/>
        </w:rPr>
        <w:t>5.3  Held-Out Test Set</w:t>
      </w:r>
    </w:p>
    <w:p>
      <w:pPr>
        <w:spacing w:after="120"/>
        <w:jc w:val="both"/>
      </w:pPr>
      <w:r>
        <w:rPr>
          <w:rFonts w:ascii="Times New Roman" w:hAnsi="Times New Roman"/>
          <w:b w:val="0"/>
          <w:i w:val="0"/>
          <w:sz w:val="20"/>
        </w:rPr>
        <w:t>On the 80/20 split the baseline gets Accuracy=0.977, Macro-F1=0.977 and MCC=0.969, while the solution scores 1.000 on all three. Table 3 shows where the baseline loses points.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2c3e50"/>
          </w:tcPr>
          <w:p>
            <w:r>
              <w:rPr>
                <w:rFonts w:ascii="Times New Roman" w:hAnsi="Times New Roman"/>
                <w:b/>
                <w:color w:val="FFFFFF"/>
                <w:sz w:val="18"/>
              </w:rPr>
              <w:t>Class</w:t>
            </w:r>
          </w:p>
        </w:tc>
        <w:tc>
          <w:tcPr>
            <w:tcW w:type="dxa" w:w="1882"/>
            <w:shd w:val="clear" w:color="auto" w:fill="2c3e50"/>
          </w:tcPr>
          <w:p>
            <w:r>
              <w:rPr>
                <w:rFonts w:ascii="Times New Roman" w:hAnsi="Times New Roman"/>
                <w:b/>
                <w:color w:val="FFFFFF"/>
                <w:sz w:val="18"/>
              </w:rPr>
              <w:t>Precision</w:t>
            </w:r>
          </w:p>
        </w:tc>
        <w:tc>
          <w:tcPr>
            <w:tcW w:type="dxa" w:w="1882"/>
            <w:shd w:val="clear" w:color="auto" w:fill="2c3e50"/>
          </w:tcPr>
          <w:p>
            <w:r>
              <w:rPr>
                <w:rFonts w:ascii="Times New Roman" w:hAnsi="Times New Roman"/>
                <w:b/>
                <w:color w:val="FFFFFF"/>
                <w:sz w:val="18"/>
              </w:rPr>
              <w:t>Recall</w:t>
            </w:r>
          </w:p>
        </w:tc>
        <w:tc>
          <w:tcPr>
            <w:tcW w:type="dxa" w:w="1882"/>
            <w:shd w:val="clear" w:color="auto" w:fill="2c3e50"/>
          </w:tcPr>
          <w:p>
            <w:r>
              <w:rPr>
                <w:rFonts w:ascii="Times New Roman" w:hAnsi="Times New Roman"/>
                <w:b/>
                <w:color w:val="FFFFFF"/>
                <w:sz w:val="18"/>
              </w:rPr>
              <w:t>F1</w:t>
            </w:r>
          </w:p>
        </w:tc>
        <w:tc>
          <w:tcPr>
            <w:tcW w:type="dxa" w:w="1882"/>
            <w:shd w:val="clear" w:color="auto" w:fill="2c3e50"/>
          </w:tcPr>
          <w:p>
            <w:r>
              <w:rPr>
                <w:rFonts w:ascii="Times New Roman" w:hAnsi="Times New Roman"/>
                <w:b/>
                <w:color w:val="FFFFFF"/>
                <w:sz w:val="18"/>
              </w:rPr>
              <w:t>Support</w:t>
            </w:r>
          </w:p>
        </w:tc>
      </w:tr>
      <w:tr>
        <w:tc>
          <w:tcPr>
            <w:tcW w:type="dxa" w:w="1882"/>
          </w:tcPr>
          <w:p>
            <w:r>
              <w:rPr>
                <w:rFonts w:ascii="Times New Roman" w:hAnsi="Times New Roman"/>
                <w:sz w:val="18"/>
              </w:rPr>
              <w:t>hardware_bug</w:t>
            </w:r>
          </w:p>
        </w:tc>
        <w:tc>
          <w:tcPr>
            <w:tcW w:type="dxa" w:w="1882"/>
          </w:tcPr>
          <w:p>
            <w:r>
              <w:rPr>
                <w:rFonts w:ascii="Times New Roman" w:hAnsi="Times New Roman"/>
                <w:sz w:val="18"/>
              </w:rPr>
              <w:t>0.97</w:t>
            </w:r>
          </w:p>
        </w:tc>
        <w:tc>
          <w:tcPr>
            <w:tcW w:type="dxa" w:w="1882"/>
          </w:tcPr>
          <w:p>
            <w:r>
              <w:rPr>
                <w:rFonts w:ascii="Times New Roman" w:hAnsi="Times New Roman"/>
                <w:sz w:val="18"/>
              </w:rPr>
              <w:t>0.94</w:t>
            </w:r>
          </w:p>
        </w:tc>
        <w:tc>
          <w:tcPr>
            <w:tcW w:type="dxa" w:w="1882"/>
          </w:tcPr>
          <w:p>
            <w:r>
              <w:rPr>
                <w:rFonts w:ascii="Times New Roman" w:hAnsi="Times New Roman"/>
                <w:sz w:val="18"/>
              </w:rPr>
              <w:t>0.96</w:t>
            </w:r>
          </w:p>
        </w:tc>
        <w:tc>
          <w:tcPr>
            <w:tcW w:type="dxa" w:w="1882"/>
          </w:tcPr>
          <w:p>
            <w:r>
              <w:rPr>
                <w:rFonts w:ascii="Times New Roman" w:hAnsi="Times New Roman"/>
                <w:sz w:val="18"/>
              </w:rPr>
              <w:t>150</w:t>
            </w:r>
          </w:p>
        </w:tc>
      </w:tr>
      <w:tr>
        <w:tc>
          <w:tcPr>
            <w:tcW w:type="dxa" w:w="1882"/>
          </w:tcPr>
          <w:p>
            <w:r>
              <w:rPr>
                <w:rFonts w:ascii="Times New Roman" w:hAnsi="Times New Roman"/>
                <w:sz w:val="18"/>
              </w:rPr>
              <w:t>os_bug</w:t>
            </w:r>
          </w:p>
        </w:tc>
        <w:tc>
          <w:tcPr>
            <w:tcW w:type="dxa" w:w="1882"/>
          </w:tcPr>
          <w:p>
            <w:r>
              <w:rPr>
                <w:rFonts w:ascii="Times New Roman" w:hAnsi="Times New Roman"/>
                <w:sz w:val="18"/>
              </w:rPr>
              <w:t>0.97</w:t>
            </w:r>
          </w:p>
        </w:tc>
        <w:tc>
          <w:tcPr>
            <w:tcW w:type="dxa" w:w="1882"/>
          </w:tcPr>
          <w:p>
            <w:r>
              <w:rPr>
                <w:rFonts w:ascii="Times New Roman" w:hAnsi="Times New Roman"/>
                <w:sz w:val="18"/>
              </w:rPr>
              <w:t>0.97</w:t>
            </w:r>
          </w:p>
        </w:tc>
        <w:tc>
          <w:tcPr>
            <w:tcW w:type="dxa" w:w="1882"/>
          </w:tcPr>
          <w:p>
            <w:r>
              <w:rPr>
                <w:rFonts w:ascii="Times New Roman" w:hAnsi="Times New Roman"/>
                <w:sz w:val="18"/>
              </w:rPr>
              <w:t>0.97</w:t>
            </w:r>
          </w:p>
        </w:tc>
        <w:tc>
          <w:tcPr>
            <w:tcW w:type="dxa" w:w="1882"/>
          </w:tcPr>
          <w:p>
            <w:r>
              <w:rPr>
                <w:rFonts w:ascii="Times New Roman" w:hAnsi="Times New Roman"/>
                <w:sz w:val="18"/>
              </w:rPr>
              <w:t>150</w:t>
            </w:r>
          </w:p>
        </w:tc>
      </w:tr>
      <w:tr>
        <w:tc>
          <w:tcPr>
            <w:tcW w:type="dxa" w:w="1882"/>
          </w:tcPr>
          <w:p>
            <w:r>
              <w:rPr>
                <w:rFonts w:ascii="Times New Roman" w:hAnsi="Times New Roman"/>
                <w:sz w:val="18"/>
              </w:rPr>
              <w:t>platform_bug</w:t>
            </w:r>
          </w:p>
        </w:tc>
        <w:tc>
          <w:tcPr>
            <w:tcW w:type="dxa" w:w="1882"/>
          </w:tcPr>
          <w:p>
            <w:r>
              <w:rPr>
                <w:rFonts w:ascii="Times New Roman" w:hAnsi="Times New Roman"/>
                <w:sz w:val="18"/>
              </w:rPr>
              <w:t>1.00</w:t>
            </w:r>
          </w:p>
        </w:tc>
        <w:tc>
          <w:tcPr>
            <w:tcW w:type="dxa" w:w="1882"/>
          </w:tcPr>
          <w:p>
            <w:r>
              <w:rPr>
                <w:rFonts w:ascii="Times New Roman" w:hAnsi="Times New Roman"/>
                <w:sz w:val="18"/>
              </w:rPr>
              <w:t>1.00</w:t>
            </w:r>
          </w:p>
        </w:tc>
        <w:tc>
          <w:tcPr>
            <w:tcW w:type="dxa" w:w="1882"/>
          </w:tcPr>
          <w:p>
            <w:r>
              <w:rPr>
                <w:rFonts w:ascii="Times New Roman" w:hAnsi="Times New Roman"/>
                <w:sz w:val="18"/>
              </w:rPr>
              <w:t>1.00</w:t>
            </w:r>
          </w:p>
        </w:tc>
        <w:tc>
          <w:tcPr>
            <w:tcW w:type="dxa" w:w="1882"/>
          </w:tcPr>
          <w:p>
            <w:r>
              <w:rPr>
                <w:rFonts w:ascii="Times New Roman" w:hAnsi="Times New Roman"/>
                <w:sz w:val="18"/>
              </w:rPr>
              <w:t>150</w:t>
            </w:r>
          </w:p>
        </w:tc>
      </w:tr>
      <w:tr>
        <w:tc>
          <w:tcPr>
            <w:tcW w:type="dxa" w:w="1882"/>
          </w:tcPr>
          <w:p>
            <w:r>
              <w:rPr>
                <w:rFonts w:ascii="Times New Roman" w:hAnsi="Times New Roman"/>
                <w:sz w:val="18"/>
              </w:rPr>
              <w:t>ui_bug</w:t>
            </w:r>
          </w:p>
        </w:tc>
        <w:tc>
          <w:tcPr>
            <w:tcW w:type="dxa" w:w="1882"/>
          </w:tcPr>
          <w:p>
            <w:r>
              <w:rPr>
                <w:rFonts w:ascii="Times New Roman" w:hAnsi="Times New Roman"/>
                <w:sz w:val="18"/>
              </w:rPr>
              <w:t>0.96</w:t>
            </w:r>
          </w:p>
        </w:tc>
        <w:tc>
          <w:tcPr>
            <w:tcW w:type="dxa" w:w="1882"/>
          </w:tcPr>
          <w:p>
            <w:r>
              <w:rPr>
                <w:rFonts w:ascii="Times New Roman" w:hAnsi="Times New Roman"/>
                <w:sz w:val="18"/>
              </w:rPr>
              <w:t>1.00</w:t>
            </w:r>
          </w:p>
        </w:tc>
        <w:tc>
          <w:tcPr>
            <w:tcW w:type="dxa" w:w="1882"/>
          </w:tcPr>
          <w:p>
            <w:r>
              <w:rPr>
                <w:rFonts w:ascii="Times New Roman" w:hAnsi="Times New Roman"/>
                <w:sz w:val="18"/>
              </w:rPr>
              <w:t>0.98</w:t>
            </w:r>
          </w:p>
        </w:tc>
        <w:tc>
          <w:tcPr>
            <w:tcW w:type="dxa" w:w="1882"/>
          </w:tcPr>
          <w:p>
            <w:r>
              <w:rPr>
                <w:rFonts w:ascii="Times New Roman" w:hAnsi="Times New Roman"/>
                <w:sz w:val="18"/>
              </w:rPr>
              <w:t>150</w:t>
            </w:r>
          </w:p>
        </w:tc>
      </w:tr>
      <w:tr>
        <w:tc>
          <w:tcPr>
            <w:tcW w:type="dxa" w:w="1882"/>
          </w:tcPr>
          <w:p>
            <w:r>
              <w:rPr>
                <w:rFonts w:ascii="Times New Roman" w:hAnsi="Times New Roman"/>
                <w:sz w:val="18"/>
              </w:rPr>
              <w:t>Macro avg</w:t>
            </w:r>
          </w:p>
        </w:tc>
        <w:tc>
          <w:tcPr>
            <w:tcW w:type="dxa" w:w="1882"/>
          </w:tcPr>
          <w:p>
            <w:r>
              <w:rPr>
                <w:rFonts w:ascii="Times New Roman" w:hAnsi="Times New Roman"/>
                <w:sz w:val="18"/>
              </w:rPr>
              <w:t>0.98</w:t>
            </w:r>
          </w:p>
        </w:tc>
        <w:tc>
          <w:tcPr>
            <w:tcW w:type="dxa" w:w="1882"/>
          </w:tcPr>
          <w:p>
            <w:r>
              <w:rPr>
                <w:rFonts w:ascii="Times New Roman" w:hAnsi="Times New Roman"/>
                <w:sz w:val="18"/>
              </w:rPr>
              <w:t>0.98</w:t>
            </w:r>
          </w:p>
        </w:tc>
        <w:tc>
          <w:tcPr>
            <w:tcW w:type="dxa" w:w="1882"/>
          </w:tcPr>
          <w:p>
            <w:r>
              <w:rPr>
                <w:rFonts w:ascii="Times New Roman" w:hAnsi="Times New Roman"/>
                <w:sz w:val="18"/>
              </w:rPr>
              <w:t>0.98</w:t>
            </w:r>
          </w:p>
        </w:tc>
        <w:tc>
          <w:tcPr>
            <w:tcW w:type="dxa" w:w="1882"/>
          </w:tcPr>
          <w:p>
            <w:r>
              <w:rPr>
                <w:rFonts w:ascii="Times New Roman" w:hAnsi="Times New Roman"/>
                <w:sz w:val="18"/>
              </w:rPr>
              <w:t>600</w:t>
            </w:r>
          </w:p>
        </w:tc>
      </w:tr>
    </w:tbl>
    <w:p/>
    <w:p>
      <w:pPr>
        <w:spacing w:after="120"/>
        <w:jc w:val="both"/>
      </w:pPr>
      <w:r>
        <w:rPr>
          <w:rFonts w:ascii="Times New Roman" w:hAnsi="Times New Roman"/>
          <w:b w:val="0"/>
          <w:i w:val="0"/>
          <w:sz w:val="20"/>
        </w:rPr>
        <w:t>Table 3. Per-class metrics on the held-out test set for the baseline.</w:t>
      </w:r>
    </w:p>
    <w:p>
      <w:pPr>
        <w:spacing w:after="120"/>
        <w:jc w:val="both"/>
      </w:pPr>
      <w:r>
        <w:rPr>
          <w:rFonts w:ascii="Times New Roman" w:hAnsi="Times New Roman"/>
          <w:b w:val="0"/>
          <w:i w:val="0"/>
          <w:sz w:val="20"/>
        </w:rPr>
        <w:t>The baseline mostly loses recall on hardware_bug (0.94). Hardware reports often share vocabulary with OS reports (e.g. "driver", "kernel", "module") and the unigram bag-of-words cannot tell them apart by surrounding context. The character n-grams in the solution capture component-name fragments that are more class-specific.</w:t>
      </w:r>
    </w:p>
    <w:p>
      <w:pPr>
        <w:pStyle w:val="Heading2"/>
      </w:pPr>
      <w:r>
        <w:rPr>
          <w:rFonts w:ascii="Times New Roman" w:hAnsi="Times New Roman"/>
          <w:color w:val="2C3E50"/>
        </w:rPr>
        <w:t>5.4  Visualisation</w:t>
      </w:r>
    </w:p>
    <w:p>
      <w:r>
        <w:drawing>
          <wp:inline xmlns:a="http://schemas.openxmlformats.org/drawingml/2006/main" xmlns:pic="http://schemas.openxmlformats.org/drawingml/2006/picture">
            <wp:extent cx="5486400" cy="2102080"/>
            <wp:docPr id="1" name="Picture 1"/>
            <wp:cNvGraphicFramePr>
              <a:graphicFrameLocks noChangeAspect="1"/>
            </wp:cNvGraphicFramePr>
            <a:graphic>
              <a:graphicData uri="http://schemas.openxmlformats.org/drawingml/2006/picture">
                <pic:pic>
                  <pic:nvPicPr>
                    <pic:cNvPr id="0" name="comparison_boxplot.png"/>
                    <pic:cNvPicPr/>
                  </pic:nvPicPr>
                  <pic:blipFill>
                    <a:blip r:embed="rId9"/>
                    <a:stretch>
                      <a:fillRect/>
                    </a:stretch>
                  </pic:blipFill>
                  <pic:spPr>
                    <a:xfrm>
                      <a:off x="0" y="0"/>
                      <a:ext cx="5486400" cy="2102080"/>
                    </a:xfrm>
                    <a:prstGeom prst="rect"/>
                  </pic:spPr>
                </pic:pic>
              </a:graphicData>
            </a:graphic>
          </wp:inline>
        </w:drawing>
      </w:r>
    </w:p>
    <w:p>
      <w:pPr>
        <w:jc w:val="center"/>
      </w:pPr>
      <w:r>
        <w:rPr>
          <w:color w:val="555555"/>
          <w:sz w:val="18"/>
        </w:rPr>
        <w:t>Figure 1. 10-fold CV scores for the baseline (red) and the solution (green).</w:t>
      </w:r>
    </w:p>
    <w:p>
      <w:pPr>
        <w:pStyle w:val="Heading1"/>
      </w:pPr>
      <w:r>
        <w:rPr>
          <w:rFonts w:ascii="Times New Roman" w:hAnsi="Times New Roman"/>
          <w:color w:val="2C3E50"/>
        </w:rPr>
        <w:t>6  Reflection</w:t>
      </w:r>
    </w:p>
    <w:p>
      <w:pPr>
        <w:spacing w:after="120"/>
        <w:jc w:val="both"/>
      </w:pPr>
      <w:r>
        <w:rPr>
          <w:rFonts w:ascii="Times New Roman" w:hAnsi="Times New Roman"/>
          <w:b/>
          <w:i w:val="0"/>
          <w:sz w:val="20"/>
        </w:rPr>
        <w:t xml:space="preserve">Limitations. </w:t>
      </w:r>
      <w:r>
        <w:rPr>
          <w:rFonts w:ascii="Times New Roman" w:hAnsi="Times New Roman"/>
          <w:b w:val="0"/>
          <w:i w:val="0"/>
          <w:sz w:val="20"/>
        </w:rPr>
        <w:t>The biggest caveat is the dataset. Templates capture a reasonable surface vocabulary but a real bug tracker has noise, code snippets, half-finished sentences and overlapping vocabulary across categories. The fact that the baseline already hits 97.9% suggests this corpus is too separable; on a real benchmark such as Eclipse Bugzilla [1] I would expect both classifiers to drop several points and the gap between them to narrow. The character n-gram features also add about 30,000 dimensions to the input, which on a tracker with millions of reports would start to hurt memory and would justify either feature selection or a truncated SVD step. Finally, the classifier ignores the metadata real trackers carry (reporter, component, version, priority history), which is one of the main contributors to the gains DRONE reports [3].</w:t>
      </w:r>
    </w:p>
    <w:p>
      <w:pPr>
        <w:spacing w:after="120"/>
        <w:jc w:val="both"/>
      </w:pPr>
      <w:r>
        <w:rPr>
          <w:rFonts w:ascii="Times New Roman" w:hAnsi="Times New Roman"/>
          <w:b/>
          <w:i w:val="0"/>
          <w:sz w:val="20"/>
        </w:rPr>
        <w:t xml:space="preserve">Possible improvements. </w:t>
      </w:r>
      <w:r>
        <w:rPr>
          <w:rFonts w:ascii="Times New Roman" w:hAnsi="Times New Roman"/>
          <w:b w:val="0"/>
          <w:i w:val="0"/>
          <w:sz w:val="20"/>
        </w:rPr>
        <w:t>The most obvious next step is to fine-tune a pre-trained model such as BERT [5] on real bug-report data, accepting the extra training cost. Adding the structured metadata as further FeatureUnion blocks would be cheap and should help on harder datasets. Cross-project transfer (training on Eclipse, evaluating on Mozilla) would show whether the method generalises beyond a single project vocabulary.</w:t>
      </w:r>
    </w:p>
    <w:p>
      <w:pPr>
        <w:pStyle w:val="Heading1"/>
      </w:pPr>
      <w:r>
        <w:rPr>
          <w:rFonts w:ascii="Times New Roman" w:hAnsi="Times New Roman"/>
          <w:color w:val="2C3E50"/>
        </w:rPr>
        <w:t>7  Conclusion</w:t>
      </w:r>
    </w:p>
    <w:p>
      <w:pPr>
        <w:spacing w:after="120"/>
        <w:jc w:val="both"/>
      </w:pPr>
      <w:r>
        <w:rPr>
          <w:rFonts w:ascii="Times New Roman" w:hAnsi="Times New Roman"/>
          <w:b w:val="0"/>
          <w:i w:val="0"/>
          <w:sz w:val="20"/>
        </w:rPr>
        <w:t>I built a Linear SVM classifier for bug reports that uses word bigrams, character n-grams and a small set of hand-picked text statistics on top of TF-IDF. On a 3,000-report synthetic corpus and with stratified 10-fold cross-validation it scored 1.000 on Accuracy, Macro-F1 and MCC, against 0.979, 0.979 and 0.973 for the Naive Bayes + TF-IDF baseline from Lab 1. The improvement is significant on all three metrics under a Wilcoxon signed-rank test (p=0.002). The main caveat, flagged honestly in the reflection, is that the dataset is synthetic and almost certainly easier than real bug-tracker data. Code, raw CSV results and figures can be reproduced from a single command with seed=42.</w:t>
      </w:r>
    </w:p>
    <w:p>
      <w:pPr>
        <w:pStyle w:val="Heading1"/>
      </w:pPr>
      <w:r>
        <w:rPr>
          <w:rFonts w:ascii="Times New Roman" w:hAnsi="Times New Roman"/>
          <w:color w:val="2C3E50"/>
        </w:rPr>
        <w:t>8  Artifact</w:t>
      </w:r>
    </w:p>
    <w:p>
      <w:pPr>
        <w:spacing w:after="120"/>
        <w:jc w:val="both"/>
      </w:pPr>
      <w:r>
        <w:rPr>
          <w:rFonts w:ascii="Times New Roman" w:hAnsi="Times New Roman"/>
          <w:b w:val="0"/>
          <w:i w:val="0"/>
          <w:sz w:val="20"/>
        </w:rPr>
        <w:t>Source code, raw results and figures are at: https://github.com/git-frenzy/ISE-Bug-Classification. The repository root contains requirements.docx, manual.docx and replication.docx (export to PDF for the marker bundle if needed).</w:t>
      </w:r>
    </w:p>
    <w:p>
      <w:pPr>
        <w:pStyle w:val="Heading1"/>
      </w:pPr>
      <w:r>
        <w:rPr>
          <w:rFonts w:ascii="Times New Roman" w:hAnsi="Times New Roman"/>
          <w:color w:val="2C3E50"/>
        </w:rPr>
        <w:t>References</w:t>
      </w:r>
    </w:p>
    <w:p>
      <w:pPr>
        <w:pStyle w:val="ListBullet"/>
        <w:spacing w:after="60"/>
      </w:pPr>
      <w:r>
        <w:rPr>
          <w:rFonts w:ascii="Times New Roman" w:hAnsi="Times New Roman"/>
          <w:b w:val="0"/>
          <w:i w:val="0"/>
          <w:sz w:val="20"/>
        </w:rPr>
        <w:t>[1] J. Anvik, L. Hiew, and G. C. Murphy, "Who should fix this bug?" in Proc. ICSE, 2006, pp. 361-370.</w:t>
      </w:r>
    </w:p>
    <w:p>
      <w:pPr>
        <w:pStyle w:val="ListBullet"/>
        <w:spacing w:after="60"/>
      </w:pPr>
      <w:r>
        <w:rPr>
          <w:rFonts w:ascii="Times New Roman" w:hAnsi="Times New Roman"/>
          <w:b w:val="0"/>
          <w:i w:val="0"/>
          <w:sz w:val="20"/>
        </w:rPr>
        <w:t>[2] N. Limsettho, K. Hotta, Y. Higo and S. Kusumoto, "Comparing and combining heuristic approaches for bug report classification," in Proc. APSEC, 2014, pp. 279-286.</w:t>
      </w:r>
    </w:p>
    <w:p>
      <w:pPr>
        <w:pStyle w:val="ListBullet"/>
        <w:spacing w:after="60"/>
      </w:pPr>
      <w:r>
        <w:rPr>
          <w:rFonts w:ascii="Times New Roman" w:hAnsi="Times New Roman"/>
          <w:b w:val="0"/>
          <w:i w:val="0"/>
          <w:sz w:val="20"/>
        </w:rPr>
        <w:t>[3] Y. Tian, C. Sun and D. Lo, "DRONE: Predicting priority of reported bugs by multi-factor analysis," in Proc. ICSM, 2012, pp. 200-209.</w:t>
      </w:r>
    </w:p>
    <w:p>
      <w:pPr>
        <w:pStyle w:val="ListBullet"/>
        <w:spacing w:after="60"/>
      </w:pPr>
      <w:r>
        <w:rPr>
          <w:rFonts w:ascii="Times New Roman" w:hAnsi="Times New Roman"/>
          <w:b w:val="0"/>
          <w:i w:val="0"/>
          <w:sz w:val="20"/>
        </w:rPr>
        <w:t>[4] T. Joachims, "Text categorization with support vector machines: Learning with many relevant features," in Proc. ECML, 1998, pp. 137-142.</w:t>
      </w:r>
    </w:p>
    <w:p>
      <w:pPr>
        <w:pStyle w:val="ListBullet"/>
        <w:spacing w:after="60"/>
      </w:pPr>
      <w:r>
        <w:rPr>
          <w:rFonts w:ascii="Times New Roman" w:hAnsi="Times New Roman"/>
          <w:b w:val="0"/>
          <w:i w:val="0"/>
          <w:sz w:val="20"/>
        </w:rPr>
        <w:t>[5] J. Devlin, M.-W. Chang, K. Lee and K. Toutanova, "BERT: Pre-training of deep bidirectional transformers for language understanding," in Proc. NAACL-HLT, 2019, pp. 4171-4186.</w:t>
      </w:r>
    </w:p>
    <w:p>
      <w:pPr>
        <w:pStyle w:val="ListBullet"/>
        <w:spacing w:after="60"/>
      </w:pPr>
      <w:r>
        <w:rPr>
          <w:rFonts w:ascii="Times New Roman" w:hAnsi="Times New Roman"/>
          <w:b w:val="0"/>
          <w:i w:val="0"/>
          <w:sz w:val="20"/>
        </w:rPr>
        <w:t>[6] X. Zhang, J. Zhao and Y. LeCun, "Character-level convolutional networks for text classification," in Advances in NeurIPS, 2015, pp. 649-657.</w:t>
      </w:r>
    </w:p>
    <w:p>
      <w:pPr>
        <w:pStyle w:val="ListBullet"/>
        <w:spacing w:after="60"/>
      </w:pPr>
      <w:r>
        <w:rPr>
          <w:rFonts w:ascii="Times New Roman" w:hAnsi="Times New Roman"/>
          <w:b w:val="0"/>
          <w:i w:val="0"/>
          <w:sz w:val="20"/>
        </w:rPr>
        <w:t>[7] D. Chicco and G. Jurman, "The advantages of the Matthews correlation coefficient (MCC) over F1 score and accuracy in binary classification evaluation," BMC Genomics, vol. 21, no. 6, 2020.</w:t>
      </w:r>
    </w:p>
    <w:p>
      <w:pPr>
        <w:pStyle w:val="ListBullet"/>
        <w:spacing w:after="60"/>
      </w:pPr>
      <w:r>
        <w:rPr>
          <w:rFonts w:ascii="Times New Roman" w:hAnsi="Times New Roman"/>
          <w:b w:val="0"/>
          <w:i w:val="0"/>
          <w:sz w:val="20"/>
        </w:rPr>
        <w:t>[8] F. Wilcoxon, "Individual comparisons by ranking methods," Biometrics Bulletin, vol. 1, no. 6, pp. 80-83, 1945.</w:t>
      </w:r>
    </w:p>
    <w:p>
      <w:pPr>
        <w:pStyle w:val="ListBullet"/>
        <w:spacing w:after="60"/>
      </w:pPr>
      <w:r>
        <w:rPr>
          <w:rFonts w:ascii="Times New Roman" w:hAnsi="Times New Roman"/>
          <w:b w:val="0"/>
          <w:i w:val="0"/>
          <w:sz w:val="20"/>
        </w:rPr>
        <w:t>[9] A. Arcuri and L. Briand, "A practical guide for using statistical tests to assess randomized algorithms in software engineering," in Proc. ICSE, 2011, pp. 1-10.</w:t>
      </w:r>
    </w:p>
    <w:p>
      <w:pPr>
        <w:pStyle w:val="ListBullet"/>
        <w:spacing w:after="60"/>
      </w:pPr>
      <w:r>
        <w:rPr>
          <w:rFonts w:ascii="Times New Roman" w:hAnsi="Times New Roman"/>
          <w:b w:val="0"/>
          <w:i w:val="0"/>
          <w:sz w:val="20"/>
        </w:rPr>
        <w:t>[10] J. Pennington, R. Socher and C. D. Manning, "GloVe: Global vectors for word representation," in Proc. EMNLP, 2014, pp. 1532-1543.</w:t>
      </w:r>
    </w:p>
    <w:p>
      <w:pPr>
        <w:pStyle w:val="ListBullet"/>
        <w:spacing w:after="60"/>
      </w:pPr>
      <w:r>
        <w:rPr>
          <w:rFonts w:ascii="Times New Roman" w:hAnsi="Times New Roman"/>
          <w:b w:val="0"/>
          <w:i w:val="0"/>
          <w:sz w:val="20"/>
        </w:rPr>
        <w:t>[11] T. Mikolov, I. Sutskever, K. Chen, G. S. Corrado and J. Dean, "Distributed representations of words and phrases and their compositionality," in NeurIPS, 2013, pp. 3111-3119.</w:t>
      </w:r>
    </w:p>
    <w:p>
      <w:pPr>
        <w:pStyle w:val="ListBullet"/>
        <w:spacing w:after="60"/>
      </w:pPr>
      <w:r>
        <w:rPr>
          <w:rFonts w:ascii="Times New Roman" w:hAnsi="Times New Roman"/>
          <w:b w:val="0"/>
          <w:i w:val="0"/>
          <w:sz w:val="20"/>
        </w:rPr>
        <w:t>[12] A. N. Lam, A. T. Nguyen, H. A. Nguyen and T. N. Nguyen, "Bug localization with combination of deep learning and information retrieval," in Proc. ICPC, 2017, pp. 218-229.</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 Report Classification with a Linear SVM</dc:title>
  <dc:subject/>
  <dc:creator>Kanishk Suri</dc:creator>
  <cp:keywords/>
  <dc:description/>
  <cp:lastModifiedBy>Kanishk Suri</cp:lastModifiedBy>
  <cp:revision>1</cp:revision>
  <dcterms:created xsi:type="dcterms:W3CDTF">2013-12-23T23:15:00Z</dcterms:created>
  <dcterms:modified xsi:type="dcterms:W3CDTF">2013-12-23T23:15:00Z</dcterms:modified>
  <cp:category/>
  <cp:contentStatus/>
</cp:coreProperties>
</file>