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맑은 고딕" w:hAnsi="맑은 고딕" w:eastAsia="맑은 고딕"/>
          <w:b/>
          <w:i w:val="0"/>
          <w:sz w:val="36"/>
        </w:rPr>
        <w:t>전력데이터 기반 발전설비 운전 최적화</w:t>
      </w:r>
    </w:p>
    <w:p>
      <w:pPr>
        <w:spacing w:after="280"/>
      </w:pPr>
      <w:r>
        <w:rPr>
          <w:rFonts w:ascii="맑은 고딕" w:hAnsi="맑은 고딕" w:eastAsia="맑은 고딕"/>
          <w:b w:val="0"/>
          <w:i w:val="0"/>
          <w:color w:val="555555"/>
          <w:sz w:val="22"/>
        </w:rPr>
        <w:t>예비력 산정식과 급변 사전 대응 — 192 MW 데이터센터 전용 발전설비(힘센 20대) 기준 실측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부하 급변은 시간대로 설명되지 않는다(판별력 0.55). 실시간 상태를 쓰면 0.92까지 오르며, 상위 경보 정밀도 기준 무작위 대비 35배다. 동시에 유닛 간 상관을 실측하면 필요 추종여력이 통상 설계값의 약 2배로 나온다.</w:t>
            </w:r>
          </w:p>
        </w:tc>
      </w:tr>
    </w:tbl>
    <w:p>
      <w:pPr>
        <w:spacing w:after="0"/>
      </w:pP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1. 요약</w:t>
      </w: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본 보고서는 데이터센터 전용 발전설비의 부하 급변 특성을 공개 실측 데이터로 검증하고, 그로부터 예비력 산정식과 운전 대응 방안을 도출한 결과를 정리한다. 검증에는 Google이 공개한 2019년 데이터센터 전력 트레이스(57개 전력 도메인 × 5분 간격 × 31일, 508,896행)를 사용했으며, 사이트 총부하율을 </w:t>
      </w:r>
      <w:r>
        <w:rPr>
          <w:rFonts w:ascii="맑은 고딕" w:hAnsi="맑은 고딕" w:eastAsia="맑은 고딕"/>
          <w:b/>
          <w:i w:val="0"/>
          <w:sz w:val="20"/>
        </w:rPr>
        <w:t>9.6 MW급 힘센엔진 20대(정격 192 MW)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구성으로 환산했다.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세 가지 결과가 나왔다.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부하 급변의 크기는 엔진 절반 수준이나, 매일 반복된다.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1시간 기준 관측 최대 급변은 5.8 MW로 사이트 정격의 3.0%(엔진 0.60대분)이며, 엔진 4분의 1대분 이상의 급변은 하루 1.1회 발생한다. 반면 플랜트가 하루에 오르내리는 출력 총량은 72 MW로 </w:t>
      </w:r>
      <w:r>
        <w:rPr>
          <w:rFonts w:ascii="맑은 고딕" w:hAnsi="맑은 고딕" w:eastAsia="맑은 고딕"/>
          <w:b/>
          <w:i w:val="0"/>
          <w:sz w:val="20"/>
        </w:rPr>
        <w:t>엔진 7.5대분</w:t>
      </w:r>
      <w:r>
        <w:rPr>
          <w:rFonts w:ascii="맑은 고딕" w:hAnsi="맑은 고딕" w:eastAsia="맑은 고딕"/>
          <w:b w:val="0"/>
          <w:i w:val="0"/>
          <w:sz w:val="20"/>
        </w:rPr>
        <w:t>에 달한다.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급변 시점은 시간대로 설명되지 않는다.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하루 중 시각 하나만으로 급변 여부를 설명한 결과 검증 구간 설명력이 −2.3%, 판별력 0.55로 무작위와 구분되지 않았다. 동일한 시계 피처가 부하 *레벨*은 69% 설명한다는 점에서, 이는 데이터나 방법의 문제가 아니라 </w:t>
      </w:r>
      <w:r>
        <w:rPr>
          <w:rFonts w:ascii="맑은 고딕" w:hAnsi="맑은 고딕" w:eastAsia="맑은 고딕"/>
          <w:b/>
          <w:i w:val="0"/>
          <w:sz w:val="20"/>
        </w:rPr>
        <w:t>레벨과 급변이 서로 다른 질문</w:t>
      </w:r>
      <w:r>
        <w:rPr>
          <w:rFonts w:ascii="맑은 고딕" w:hAnsi="맑은 고딕" w:eastAsia="맑은 고딕"/>
          <w:b w:val="0"/>
          <w:i w:val="0"/>
          <w:sz w:val="20"/>
        </w:rPr>
        <w:t>이기 때문이다.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급변을 지배하는 것은 실시간 상태다.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직전 구간에 급변이 있었다는 사실 하나가 다음 구간 급변 확률을 0.59%에서 26.6%로 </w:t>
      </w:r>
      <w:r>
        <w:rPr>
          <w:rFonts w:ascii="맑은 고딕" w:hAnsi="맑은 고딕" w:eastAsia="맑은 고딕"/>
          <w:b/>
          <w:i w:val="0"/>
          <w:sz w:val="20"/>
        </w:rPr>
        <w:t>45배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높인다. 가용 피처를 모두 사용하면 판별력이 0.92에 도달하며, 상승분의 97%는 '현재 부하 수준'과 '최근 움직임' 두 그룹에서 나온다.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이로부터 두 가지 산출물이 도출된다. 첫째는 </w:t>
      </w:r>
      <w:r>
        <w:rPr>
          <w:rFonts w:ascii="맑은 고딕" w:hAnsi="맑은 고딕" w:eastAsia="맑은 고딕"/>
          <w:b/>
          <w:i w:val="0"/>
          <w:sz w:val="20"/>
        </w:rPr>
        <w:t>유닛 간 상관을 반영한 예비력 산정식 φ(N)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이며, 둘째는 </w:t>
      </w:r>
      <w:r>
        <w:rPr>
          <w:rFonts w:ascii="맑은 고딕" w:hAnsi="맑은 고딕" w:eastAsia="맑은 고딕"/>
          <w:b/>
          <w:i w:val="0"/>
          <w:sz w:val="20"/>
        </w:rPr>
        <w:t>1시간 전 급변 경보</w:t>
      </w:r>
      <w:r>
        <w:rPr>
          <w:rFonts w:ascii="맑은 고딕" w:hAnsi="맑은 고딕" w:eastAsia="맑은 고딕"/>
          <w:b w:val="0"/>
          <w:i w:val="0"/>
          <w:sz w:val="20"/>
        </w:rPr>
        <w:t>다. 전자는 통상 설계가 필요 추종여력의 절반만 확보하고 있음을 지적하고, 후자는 상시 공회전 예비를 조건부 대기로 전환할 근거가 된다.</w:t>
      </w: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2. 배경과 문제 정의</w:t>
      </w: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AI 수요 확대로 계통 접속 대기가 길어지면서, 데이터센터는 부지 내 가스엔진 발전을 예비전원이 아닌 </w:t>
      </w:r>
      <w:r>
        <w:rPr>
          <w:rFonts w:ascii="맑은 고딕" w:hAnsi="맑은 고딕" w:eastAsia="맑은 고딕"/>
          <w:b/>
          <w:i w:val="0"/>
          <w:sz w:val="20"/>
        </w:rPr>
        <w:t>주전원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으로 채택하는 사례가 늘고 있다. 이 구조에서 발전설비는 계통과 다른 조건에 놓인다. 계통은 거대한 관성이 부하 변동을 흡수하지만, 부지 내 엔진 함대는 </w:t>
      </w:r>
      <w:r>
        <w:rPr>
          <w:rFonts w:ascii="맑은 고딕" w:hAnsi="맑은 고딕" w:eastAsia="맑은 고딕"/>
          <w:b/>
          <w:i w:val="0"/>
          <w:sz w:val="20"/>
        </w:rPr>
        <w:t>부하 변화를 엔진 대수와 출력으로 직접 따라가야 한다.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따라서 부하가 언제 얼마나 튀는지가 설비 구성과 운전 방식을 그대로 결정한다.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현행 관행은 두 가지 가정 위에 서 있다.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시간대 가정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부하가 일주기를 그리므로 시간대별로 기동 대수를 배정하면 된다.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독립 가정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유닛을 N대 병렬로 붙이면 변동이 서로 상쇄되어 집합 변동이 √N만큼 줄어든다.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두 가정 모두 부하 *레벨*에 대해서는 합리적이다. 그러나 부하 *급변*에 대해서도 성립하는지는 검증된 바 없다. 본 보고서는 그 두 가정을 각각 실측으로 시험한다.</w:t>
      </w: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3. 검증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항목</w:t>
            </w:r>
          </w:p>
        </w:tc>
        <w:tc>
          <w:tcPr>
            <w:tcW w:type="dxa" w:w="793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</w:t>
            </w:r>
          </w:p>
        </w:tc>
        <w:tc>
          <w:tcPr>
            <w:tcW w:type="dxa" w:w="793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Google powerdata_2019 공개 트레이스 · 57개 전력 도메인 · 2019년 5월 · 5분 간격 · 508,896행 · 결측 없음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환산</w:t>
            </w:r>
          </w:p>
        </w:tc>
        <w:tc>
          <w:tcPr>
            <w:tcW w:type="dxa" w:w="793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사이트 총부하율 = 57개 도메인 평균 부하율. 정격 192 MW(9.6 MW × 20대)로 환산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급변 정의</w:t>
            </w:r>
          </w:p>
        </w:tc>
        <w:tc>
          <w:tcPr>
            <w:tcW w:type="dxa" w:w="793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다음 h 구간 부하 상승폭이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학습 구간 상위 1%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를 초과하는 경우(0/1). 임계값은 학습 구간에서 확정해 검증 구간에 그대로 적용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분할</w:t>
            </w:r>
          </w:p>
        </w:tc>
        <w:tc>
          <w:tcPr>
            <w:tcW w:type="dxa" w:w="793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학습 1~20일 / 검증 21~31일. 한 번만 분할하고 검증 구간에서는 재학습하지 않음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설명력 지표</w:t>
            </w:r>
          </w:p>
        </w:tc>
        <w:tc>
          <w:tcPr>
            <w:tcW w:type="dxa" w:w="793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이탈도 설명률 1 − D_model/D_null. 0/1 타깃에서 R²에 대응하며,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음수는 기저율만 사용하는 것보다 열등함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을 뜻함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누출 검증</w:t>
            </w:r>
          </w:p>
        </w:tc>
        <w:tc>
          <w:tcPr>
            <w:tcW w:type="dxa" w:w="793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미래 정보가 피처로 새지 않는지 확인하는 테스트 6종 통과. 21일차 이후 데이터를 오염시켜도 20일차 이전 피처가 비트 단위로 동일해야 통과</w:t>
            </w:r>
          </w:p>
        </w:tc>
      </w:tr>
    </w:tbl>
    <w:p>
      <w:pPr>
        <w:spacing w:after="0"/>
      </w:pP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4. 결과 1 — 부하 급변의 크기와 빈도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구간</w:t>
            </w:r>
          </w:p>
        </w:tc>
        <w:tc>
          <w:tcPr>
            <w:tcW w:type="dxa" w:w="158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표준편차</w:t>
            </w:r>
          </w:p>
        </w:tc>
        <w:tc>
          <w:tcPr>
            <w:tcW w:type="dxa" w:w="158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p99</w:t>
            </w:r>
          </w:p>
        </w:tc>
        <w:tc>
          <w:tcPr>
            <w:tcW w:type="dxa" w:w="170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관측 최대</w:t>
            </w:r>
          </w:p>
        </w:tc>
        <w:tc>
          <w:tcPr>
            <w:tcW w:type="dxa" w:w="170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정격 대비</w:t>
            </w:r>
          </w:p>
        </w:tc>
        <w:tc>
          <w:tcPr>
            <w:tcW w:type="dxa" w:w="181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엔진 환산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5분</w:t>
            </w:r>
          </w:p>
        </w:tc>
        <w:tc>
          <w:tcPr>
            <w:tcW w:type="dxa" w:w="158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0.3 MW</w:t>
            </w:r>
          </w:p>
        </w:tc>
        <w:tc>
          <w:tcPr>
            <w:tcW w:type="dxa" w:w="158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0.9 MW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1.8 MW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1.0 %</w:t>
            </w:r>
          </w:p>
        </w:tc>
        <w:tc>
          <w:tcPr>
            <w:tcW w:type="dxa" w:w="181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0.19대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15분</w:t>
            </w:r>
          </w:p>
        </w:tc>
        <w:tc>
          <w:tcPr>
            <w:tcW w:type="dxa" w:w="158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0.7 MW</w:t>
            </w:r>
          </w:p>
        </w:tc>
        <w:tc>
          <w:tcPr>
            <w:tcW w:type="dxa" w:w="158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2.0 MW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4.1 MW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2.1 %</w:t>
            </w:r>
          </w:p>
        </w:tc>
        <w:tc>
          <w:tcPr>
            <w:tcW w:type="dxa" w:w="181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0.43대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30분</w:t>
            </w:r>
          </w:p>
        </w:tc>
        <w:tc>
          <w:tcPr>
            <w:tcW w:type="dxa" w:w="158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1.0 MW</w:t>
            </w:r>
          </w:p>
        </w:tc>
        <w:tc>
          <w:tcPr>
            <w:tcW w:type="dxa" w:w="158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2.8 MW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4.4 MW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2.3 %</w:t>
            </w:r>
          </w:p>
        </w:tc>
        <w:tc>
          <w:tcPr>
            <w:tcW w:type="dxa" w:w="181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0.46대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1시간</w:t>
            </w:r>
          </w:p>
        </w:tc>
        <w:tc>
          <w:tcPr>
            <w:tcW w:type="dxa" w:w="158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1.4 MW</w:t>
            </w:r>
          </w:p>
        </w:tc>
        <w:tc>
          <w:tcPr>
            <w:tcW w:type="dxa" w:w="1587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4.0 MW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5.8 MW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3.0 %</w:t>
            </w:r>
          </w:p>
        </w:tc>
        <w:tc>
          <w:tcPr>
            <w:tcW w:type="dxa" w:w="181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0.60대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단일 급변의 크기는 엔진 한 대에 미치지 못한다. 그러나 </w:t>
      </w:r>
      <w:r>
        <w:rPr>
          <w:rFonts w:ascii="맑은 고딕" w:hAnsi="맑은 고딕" w:eastAsia="맑은 고딕"/>
          <w:b/>
          <w:i w:val="0"/>
          <w:sz w:val="20"/>
        </w:rPr>
        <w:t>빈도와 누적량</w:t>
      </w:r>
      <w:r>
        <w:rPr>
          <w:rFonts w:ascii="맑은 고딕" w:hAnsi="맑은 고딕" w:eastAsia="맑은 고딕"/>
          <w:b w:val="0"/>
          <w:i w:val="0"/>
          <w:sz w:val="20"/>
        </w:rPr>
        <w:t>이 실제 운전 부담을 결정한다.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지표</w:t>
            </w:r>
          </w:p>
        </w:tc>
        <w:tc>
          <w:tcPr>
            <w:tcW w:type="dxa" w:w="19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값</w:t>
            </w:r>
          </w:p>
        </w:tc>
        <w:tc>
          <w:tcPr>
            <w:tcW w:type="dxa" w:w="4082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해석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엔진 0.25대분(2.4 MW) 이상 급변</w:t>
            </w:r>
          </w:p>
        </w:tc>
        <w:tc>
          <w:tcPr>
            <w:tcW w:type="dxa" w:w="192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하루 1.1회</w:t>
            </w:r>
          </w:p>
        </w:tc>
        <w:tc>
          <w:tcPr>
            <w:tcW w:type="dxa" w:w="408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1시간 기준, 비중첩 구간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하루 총 변동 이동거리</w:t>
            </w:r>
          </w:p>
        </w:tc>
        <w:tc>
          <w:tcPr>
            <w:tcW w:type="dxa" w:w="192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72 MW / 일</w:t>
            </w:r>
          </w:p>
        </w:tc>
        <w:tc>
          <w:tcPr>
            <w:tcW w:type="dxa" w:w="408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엔진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7.5대분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의 출력을 매일 오르내림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평균 부하율</w:t>
            </w:r>
          </w:p>
        </w:tc>
        <w:tc>
          <w:tcPr>
            <w:tcW w:type="dxa" w:w="192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69.0 %</w:t>
            </w:r>
          </w:p>
        </w:tc>
        <w:tc>
          <w:tcPr>
            <w:tcW w:type="dxa" w:w="408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평균 출력 132.5 MW, 연간 1,161 GWh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피크와 저점의 차이는 엔진 0.6대분에 불과하지만, 플랜트가 하루에 실제로 움직이는 출력 총량은 엔진 7.5대분이다.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부하추종 작업량이 피크 크기의 12배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라는 뜻이며, 설비 사양이 아니라 운전 로직이 원가를 결정하는 이유가 여기에 있다.</w:t>
            </w:r>
          </w:p>
        </w:tc>
      </w:tr>
    </w:tbl>
    <w:p>
      <w:pPr>
        <w:spacing w:after="0"/>
      </w:pP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5. 결과 2 — 시간대는 급변을 설명하지 않는다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5.1 결과</w:t>
      </w:r>
    </w:p>
    <w:p>
      <w:r>
        <w:rPr>
          <w:rFonts w:ascii="맑은 고딕" w:hAnsi="맑은 고딕" w:eastAsia="맑은 고딕"/>
          <w:b w:val="0"/>
          <w:i w:val="0"/>
          <w:sz w:val="20"/>
        </w:rPr>
        <w:t>피처를 '하루 중 시각' 하나로 고정하고, 해상도와 달력 조합을 바꾼 네 가지 변형을 시험했다. 하한(기저율만 사용)과 상한(가용 피처 전체)을 양 끝에 두어 비교 기준을 고정했다.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피처 구성</w:t>
            </w:r>
          </w:p>
        </w:tc>
        <w:tc>
          <w:tcPr>
            <w:tcW w:type="dxa" w:w="255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검증 설명력</w:t>
            </w:r>
          </w:p>
        </w:tc>
        <w:tc>
          <w:tcPr>
            <w:tcW w:type="dxa" w:w="255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판별력 (AUC)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기저율만 (하한)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0.0 %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0.500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시각 — 1시간 해상도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−0.4 %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0.525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시각 — 5분 해상도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−2.3 %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0.550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시각 × 주말 여부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−0.8 %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0.514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시각 × 요일 (5분 해상도)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−13.2 %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0.542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가용 피처 전체 (상한)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+25.1 %</w:t>
            </w:r>
          </w:p>
        </w:tc>
        <w:tc>
          <w:tcPr>
            <w:tcW w:type="dxa" w:w="255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0.923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시계 계열 네 구성이 모두 0 이하다. 판별력도 0.51~0.55로 동전 던지기(0.500)와 실질적으로 구분되지 않는다. 시간대별 급변 확률의 실제 분포 역시 같은 결론을 가리킨다 — 확률이 가장 높은 시각은 18시(1.44%), 가장 낮은 시각은 12시(0.51%)이며 전일 평균은 0.80%다. </w:t>
      </w:r>
      <w:r>
        <w:rPr>
          <w:rFonts w:ascii="맑은 고딕" w:hAnsi="맑은 고딕" w:eastAsia="맑은 고딕"/>
          <w:b/>
          <w:i w:val="0"/>
          <w:sz w:val="20"/>
        </w:rPr>
        <w:t>가장 위험한 시간대라 하더라도 평균의 1.8배에 그친다.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5.2 시계가 부적절한 피처인 것은 아니다</w:t>
      </w:r>
    </w:p>
    <w:p>
      <w:r>
        <w:rPr>
          <w:rFonts w:ascii="맑은 고딕" w:hAnsi="맑은 고딕" w:eastAsia="맑은 고딕"/>
          <w:b w:val="0"/>
          <w:i w:val="0"/>
          <w:sz w:val="20"/>
        </w:rPr>
        <w:t>이 결과가 '시각이 무의미한 변수'라는 뜻으로 읽히면 곤란하다. 동일한 시계 피처로 부하 레벨을 설명하면 결과가 정반대다.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설명 대상</w:t>
            </w:r>
          </w:p>
        </w:tc>
        <w:tc>
          <w:tcPr>
            <w:tcW w:type="dxa" w:w="396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시계 하나의 설명력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부하 레벨 (측정 전력)</w:t>
            </w:r>
          </w:p>
        </w:tc>
        <w:tc>
          <w:tcPr>
            <w:tcW w:type="dxa" w:w="3969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R² 0.693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부하 변화량 (증분)</w:t>
            </w:r>
          </w:p>
        </w:tc>
        <w:tc>
          <w:tcPr>
            <w:tcW w:type="dxa" w:w="3969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R² −0.008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급변 여부 (0/1)</w:t>
            </w:r>
          </w:p>
        </w:tc>
        <w:tc>
          <w:tcPr>
            <w:tcW w:type="dxa" w:w="3969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−2.3 %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/>
          <w:i w:val="0"/>
          <w:sz w:val="20"/>
        </w:rPr>
        <w:t>같은 피처가 부하 레벨은 69% 설명하고 급변은 0% 설명한다.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일주기가 뚜렷하므로 '지금 얼마나 쓰고 있는가'는 시계로 상당 부분 답이 되지만, '곧 튈 것인가'는 그렇지 않다. 현행 편성표 방식이 전자에서 작동해 온 사실이 후자에서도 작동함을 보장하지 않는다.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5.3 해상도를 높이면 개선되는가</w:t>
      </w: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'시간대 구분이 거칠어서 그렇다, 더 잘게 나누면 잡힌다'는 반론이 예상된다. 결과는 반대다. 5분 해상도에 요일까지 곱한 구성은 학습 구간에서 설명력 </w:t>
      </w:r>
      <w:r>
        <w:rPr>
          <w:rFonts w:ascii="맑은 고딕" w:hAnsi="맑은 고딕" w:eastAsia="맑은 고딕"/>
          <w:b/>
          <w:i w:val="0"/>
          <w:sz w:val="20"/>
        </w:rPr>
        <w:t>18.4%</w:t>
      </w:r>
      <w:r>
        <w:rPr>
          <w:rFonts w:ascii="맑은 고딕" w:hAnsi="맑은 고딕" w:eastAsia="맑은 고딕"/>
          <w:b w:val="0"/>
          <w:i w:val="0"/>
          <w:sz w:val="20"/>
        </w:rPr>
        <w:t xml:space="preserve">, 판별력 0.870을 보이지만, 동일한 모델을 검증 구간에 적용하면 설명력 </w:t>
      </w:r>
      <w:r>
        <w:rPr>
          <w:rFonts w:ascii="맑은 고딕" w:hAnsi="맑은 고딕" w:eastAsia="맑은 고딕"/>
          <w:b/>
          <w:i w:val="0"/>
          <w:sz w:val="20"/>
        </w:rPr>
        <w:t>−13.2%</w:t>
      </w:r>
      <w:r>
        <w:rPr>
          <w:rFonts w:ascii="맑은 고딕" w:hAnsi="맑은 고딕" w:eastAsia="맑은 고딕"/>
          <w:b w:val="0"/>
          <w:i w:val="0"/>
          <w:sz w:val="20"/>
        </w:rPr>
        <w:t xml:space="preserve">, 판별력 0.542로 붕괴한다. 1시간 해상도에서도 학습 구간 설명력은 0.5%에 불과하다. </w:t>
      </w:r>
      <w:r>
        <w:rPr>
          <w:rFonts w:ascii="맑은 고딕" w:hAnsi="맑은 고딕" w:eastAsia="맑은 고딕"/>
          <w:b/>
          <w:i w:val="0"/>
          <w:sz w:val="20"/>
        </w:rPr>
        <w:t>과적합을 걷어내고 보면 달력이 담고 있는 정보량 자체가 0에 가깝다.</w:t>
      </w: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6. 결과 3 — 실시간 상태가 급변을 지배한다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6.1 직전 상태의 효과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조건</w:t>
            </w:r>
          </w:p>
        </w:tc>
        <w:tc>
          <w:tcPr>
            <w:tcW w:type="dxa" w:w="283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다음 구간 급변 확률</w:t>
            </w:r>
          </w:p>
        </w:tc>
        <w:tc>
          <w:tcPr>
            <w:tcW w:type="dxa" w:w="283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기준 대비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직전 구간이 평온했을 때</w:t>
            </w:r>
          </w:p>
        </w:tc>
        <w:tc>
          <w:tcPr>
            <w:tcW w:type="dxa" w:w="28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0.59 %</w:t>
            </w:r>
          </w:p>
        </w:tc>
        <w:tc>
          <w:tcPr>
            <w:tcW w:type="dxa" w:w="28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기준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전일 평균</w:t>
            </w:r>
          </w:p>
        </w:tc>
        <w:tc>
          <w:tcPr>
            <w:tcW w:type="dxa" w:w="28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0.80 %</w:t>
            </w:r>
          </w:p>
        </w:tc>
        <w:tc>
          <w:tcPr>
            <w:tcW w:type="dxa" w:w="28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1.4배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가장 위험한 시간대 (18시)</w:t>
            </w:r>
          </w:p>
        </w:tc>
        <w:tc>
          <w:tcPr>
            <w:tcW w:type="dxa" w:w="28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1.44 %</w:t>
            </w:r>
          </w:p>
        </w:tc>
        <w:tc>
          <w:tcPr>
            <w:tcW w:type="dxa" w:w="28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2.4배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직전 구간에 급변이 있었을 때</w:t>
            </w:r>
          </w:p>
        </w:tc>
        <w:tc>
          <w:tcPr>
            <w:tcW w:type="dxa" w:w="28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26.6 %</w:t>
            </w:r>
          </w:p>
        </w:tc>
        <w:tc>
          <w:tcPr>
            <w:tcW w:type="dxa" w:w="28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45배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 w:val="0"/>
          <w:i w:val="0"/>
          <w:sz w:val="20"/>
        </w:rPr>
        <w:t>달력이 움직이는 폭(2.4배)과 상태가 움직이는 폭(45배)이 한 자릿수 이상 차이난다.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6.2 판별력은 무엇이 올렸나</w:t>
      </w:r>
    </w:p>
    <w:p>
      <w:r>
        <w:rPr>
          <w:rFonts w:ascii="맑은 고딕" w:hAnsi="맑은 고딕" w:eastAsia="맑은 고딕"/>
          <w:b w:val="0"/>
          <w:i w:val="0"/>
          <w:sz w:val="20"/>
        </w:rPr>
        <w:t>판별력 0.55 → 0.92의 상승분이 어디에서 나오는지 확인하기 위해, 피처를 그룹 단위로 누적 추가하며 동일한 학습기로 재측정했다.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7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누적 피처 그룹</w:t>
            </w:r>
          </w:p>
        </w:tc>
        <w:tc>
          <w:tcPr>
            <w:tcW w:type="dxa" w:w="164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AUC (5분)</w:t>
            </w:r>
          </w:p>
        </w:tc>
        <w:tc>
          <w:tcPr>
            <w:tcW w:type="dxa" w:w="147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증분</w:t>
            </w:r>
          </w:p>
        </w:tc>
        <w:tc>
          <w:tcPr>
            <w:tcW w:type="dxa" w:w="164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AUC (1시간)</w:t>
            </w:r>
          </w:p>
        </w:tc>
        <w:tc>
          <w:tcPr>
            <w:tcW w:type="dxa" w:w="170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증분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시계 (시각·요일)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0.547</w:t>
            </w:r>
          </w:p>
        </w:tc>
        <w:tc>
          <w:tcPr>
            <w:tcW w:type="dxa" w:w="147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0.536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현재 부하 수준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0.751</w:t>
            </w:r>
          </w:p>
        </w:tc>
        <w:tc>
          <w:tcPr>
            <w:tcW w:type="dxa" w:w="147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+0.204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0.878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+0.343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③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최근 움직임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0.916</w:t>
            </w:r>
          </w:p>
        </w:tc>
        <w:tc>
          <w:tcPr>
            <w:tcW w:type="dxa" w:w="147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+0.165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0.891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+0.012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④ 최근 변동성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0.917</w:t>
            </w:r>
          </w:p>
        </w:tc>
        <w:tc>
          <w:tcPr>
            <w:tcW w:type="dxa" w:w="147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+0.001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0.896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+0.006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⑤ 함대 상태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0.921</w:t>
            </w:r>
          </w:p>
        </w:tc>
        <w:tc>
          <w:tcPr>
            <w:tcW w:type="dxa" w:w="147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+0.004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0.901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+0.005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⑥ 2번째 센서 채널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0.923</w:t>
            </w:r>
          </w:p>
        </w:tc>
        <w:tc>
          <w:tcPr>
            <w:tcW w:type="dxa" w:w="147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+0.002</w:t>
            </w:r>
          </w:p>
        </w:tc>
        <w:tc>
          <w:tcPr>
            <w:tcW w:type="dxa" w:w="164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0.907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+0.006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/>
          <w:i w:val="0"/>
          <w:sz w:val="20"/>
        </w:rPr>
        <w:t>두 그룹이 전부다.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② 현재 부하 수준(현재 부하율, 하루 평균 대비 이탈, 함대 평균 대비 위치)과 ③ 최근 움직임(직전 5·15·30분 증분)을 넣으면 5분 horizon에서 0.547 → 0.916에 도달하며, </w:t>
      </w:r>
      <w:r>
        <w:rPr>
          <w:rFonts w:ascii="맑은 고딕" w:hAnsi="맑은 고딕" w:eastAsia="맑은 고딕"/>
          <w:b/>
          <w:i w:val="0"/>
          <w:sz w:val="20"/>
        </w:rPr>
        <w:t>전체 상승폭의 97%가 여기서 나온다.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나머지 세 그룹은 합쳐서 +0.007이다.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물리적으로도 설명된다. 급변은 '상위 1% 상승'으로 정의되므로, 현재 부하가 낮은 자리에 있으면 올라갈 여지가 크고 이미 천장 근처면 못 올라간다. 또한 부하는 한 스텝에 뛰지 않고 계단식으로 오르므로, 직전 증분이 이미 그 시작을 보여준다. </w:t>
      </w:r>
      <w:r>
        <w:rPr>
          <w:rFonts w:ascii="맑은 고딕" w:hAnsi="맑은 고딕" w:eastAsia="맑은 고딕"/>
          <w:b/>
          <w:i w:val="0"/>
          <w:sz w:val="20"/>
        </w:rPr>
        <w:t>시계는 이 둘 중 어느 것도 모른다 — '지금 몇 시인가'만 알고 '지금 어디에 있고 방금 어디로 움직였나'는 모른다.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6.3 함대 정보의 역할</w:t>
      </w: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함대 상태(⑤)는 AUC 기준으로는 +0.005에 그치지만, 상위 알람 정밀도로 보면 다르다. 1시간 horizon에서 17.4% → </w:t>
      </w:r>
      <w:r>
        <w:rPr>
          <w:rFonts w:ascii="맑은 고딕" w:hAnsi="맑은 고딕" w:eastAsia="맑은 고딕"/>
          <w:b/>
          <w:i w:val="0"/>
          <w:sz w:val="20"/>
        </w:rPr>
        <w:t>22.2%</w:t>
      </w:r>
      <w:r>
        <w:rPr>
          <w:rFonts w:ascii="맑은 고딕" w:hAnsi="맑은 고딕" w:eastAsia="맑은 고딕"/>
          <w:b w:val="0"/>
          <w:i w:val="0"/>
          <w:sz w:val="20"/>
        </w:rPr>
        <w:t xml:space="preserve">로 상승한다. AUC가 전체 순위 품질인 반면 정밀도는 가장 위험하다고 지목한 상위 건의 품질이므로, 함대 정보는 </w:t>
      </w:r>
      <w:r>
        <w:rPr>
          <w:rFonts w:ascii="맑은 고딕" w:hAnsi="맑은 고딕" w:eastAsia="맑은 고딕"/>
          <w:b/>
          <w:i w:val="0"/>
          <w:sz w:val="20"/>
        </w:rPr>
        <w:t>순위의 꼭대기를 골라내는 데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기여한다. 운영에서 실제로 사용하는 것은 꼭대기이므로 이쪽이 실질적이다.</w:t>
      </w:r>
    </w:p>
    <w:p>
      <w:pPr>
        <w:spacing w:before="6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정밀도 28.2%(5분·1시간 기준) = 상위 경보 100건 중 28건이 실제 급변. 기저율 0.8% 대비 35배.</w:t>
      </w: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7. 예비력 산정식 φ(N)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유닛이 서로 독립이면 집합 변동은 √N으로 줄어든다. 실측은 그렇지 않다. 평균 쌍별 상관 ρ̄를 도입하면 보정계수가 다음과 같이 닫힌 형태로 정리된다.</w:t>
      </w:r>
    </w:p>
    <w:p>
      <w:pPr>
        <w:spacing w:before="120" w:after="120"/>
        <w:jc w:val="center"/>
      </w:pPr>
      <w:r>
        <w:rPr>
          <w:rFonts w:ascii="Cambria Math" w:hAnsi="Cambria Math"/>
          <w:b/>
          <w:sz w:val="24"/>
        </w:rPr>
        <w:t>φ(N) = √( 1 + (N − 1) · ρ̄ )</w:t>
      </w:r>
    </w:p>
    <w:p>
      <w:pPr>
        <w:spacing w:before="120" w:after="120"/>
        <w:jc w:val="center"/>
      </w:pPr>
      <w:r>
        <w:rPr>
          <w:rFonts w:ascii="Cambria Math" w:hAnsi="Cambria Math"/>
          <w:b/>
          <w:sz w:val="24"/>
        </w:rPr>
        <w:t>R = k · φ(N) · σ_unit · C / √N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기호</w:t>
            </w:r>
          </w:p>
        </w:tc>
        <w:tc>
          <w:tcPr>
            <w:tcW w:type="dxa" w:w="5102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뜻</w:t>
            </w:r>
          </w:p>
        </w:tc>
        <w:tc>
          <w:tcPr>
            <w:tcW w:type="dxa" w:w="317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값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ρ̄</w:t>
            </w:r>
          </w:p>
        </w:tc>
        <w:tc>
          <w:tcPr>
            <w:tcW w:type="dxa" w:w="510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유닛 간 평균 쌍별 상관 (1시간 증분)</w:t>
            </w:r>
          </w:p>
        </w:tc>
        <w:tc>
          <w:tcPr>
            <w:tcW w:type="dxa" w:w="317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0.148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(실측)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</w:t>
            </w:r>
          </w:p>
        </w:tc>
        <w:tc>
          <w:tcPr>
            <w:tcW w:type="dxa" w:w="510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병렬 대수</w:t>
            </w:r>
          </w:p>
        </w:tc>
        <w:tc>
          <w:tcPr>
            <w:tcW w:type="dxa" w:w="317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φ(20)</w:t>
            </w:r>
          </w:p>
        </w:tc>
        <w:tc>
          <w:tcPr>
            <w:tcW w:type="dxa" w:w="510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독립 가정 대비 보정계수</w:t>
            </w:r>
          </w:p>
        </w:tc>
        <w:tc>
          <w:tcPr>
            <w:tcW w:type="dxa" w:w="317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1.95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</w:t>
            </w:r>
          </w:p>
        </w:tc>
        <w:tc>
          <w:tcPr>
            <w:tcW w:type="dxa" w:w="510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신뢰수준 배수</w:t>
            </w:r>
          </w:p>
        </w:tc>
        <w:tc>
          <w:tcPr>
            <w:tcW w:type="dxa" w:w="317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3σ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σ_unit</w:t>
            </w:r>
          </w:p>
        </w:tc>
        <w:tc>
          <w:tcPr>
            <w:tcW w:type="dxa" w:w="510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유닛별 램프 표준편차</w:t>
            </w:r>
          </w:p>
        </w:tc>
        <w:tc>
          <w:tcPr>
            <w:tcW w:type="dxa" w:w="317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실측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</w:t>
            </w:r>
          </w:p>
        </w:tc>
        <w:tc>
          <w:tcPr>
            <w:tcW w:type="dxa" w:w="5102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사이트 정격</w:t>
            </w:r>
          </w:p>
        </w:tc>
        <w:tc>
          <w:tcPr>
            <w:tcW w:type="dxa" w:w="317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192 MW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 w:val="0"/>
          <w:i w:val="0"/>
          <w:sz w:val="20"/>
        </w:rPr>
        <w:t>적용 결과는 다음과 같다.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산정 방식</w:t>
            </w:r>
          </w:p>
        </w:tc>
        <w:tc>
          <w:tcPr>
            <w:tcW w:type="dxa" w:w="453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1시간 기준 필요 추종여력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독립 가정 (φ = 1) — 통상 설계</w:t>
            </w:r>
          </w:p>
        </w:tc>
        <w:tc>
          <w:tcPr>
            <w:tcW w:type="dxa" w:w="45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2.4 MW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실측 상관 반영 (φ = 1.95)</w:t>
            </w:r>
          </w:p>
        </w:tc>
        <w:tc>
          <w:tcPr>
            <w:tcW w:type="dxa" w:w="45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4.7 MW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차이</w:t>
            </w:r>
          </w:p>
        </w:tc>
        <w:tc>
          <w:tcPr>
            <w:tcW w:type="dxa" w:w="45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+2.3 MW (약 2배)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공식이 실측과 맞는다.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57개 유닛에서 공식 예측 φ = 3.05, 직접 측정값 2.94로 3% 이내에서 일치한다. 즉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ρ̄ 하나만 측정하면 임의의 병렬 대수 N에 적용할 수 있다.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통상 설계는 φ = 1을 쓰므로 필요 추종여력의 절반만 확보하며, 오차 방향은 항상 모자라는 쪽이다.</w:t>
            </w:r>
          </w:p>
        </w:tc>
      </w:tr>
    </w:tbl>
    <w:p>
      <w:pPr>
        <w:spacing w:after="0"/>
      </w:pP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8. 전략적 함의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8.1 판매량은 줄지 않고 늘어난다</w:t>
      </w: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정확한 예비력 산정은 '엔진을 덜 사도 된다'가 아니라 </w:t>
      </w:r>
      <w:r>
        <w:rPr>
          <w:rFonts w:ascii="맑은 고딕" w:hAnsi="맑은 고딕" w:eastAsia="맑은 고딕"/>
          <w:b/>
          <w:i w:val="0"/>
          <w:sz w:val="20"/>
        </w:rPr>
        <w:t>'이만큼 없으면 트립난다'</w:t>
      </w:r>
      <w:r>
        <w:rPr>
          <w:rFonts w:ascii="맑은 고딕" w:hAnsi="맑은 고딕" w:eastAsia="맑은 고딕"/>
          <w:b w:val="0"/>
          <w:i w:val="0"/>
          <w:sz w:val="20"/>
        </w:rPr>
        <w:t>를 뜻한다. 따라서 이 산정식은 영업 제안이 아니라 리스크 고지의 형식을 띠며, 반박이 어렵다. 20대 규모에서는 절대량이 크지 않으나, 사이트 규모가 커질수록 φ(N)이 상승하므로 효과가 비례 이상으로 증가한다. 참고로 57대 규모에서는 φ = 2.94다.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8.2 가용률 보증이 가능해진다</w:t>
      </w: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보호계전은 계측값을 신뢰해 동작한다. 계측이 상실되면 안전 측으로 트립하므로, </w:t>
      </w:r>
      <w:r>
        <w:rPr>
          <w:rFonts w:ascii="맑은 고딕" w:hAnsi="맑은 고딕" w:eastAsia="맑은 고딕"/>
          <w:b/>
          <w:i w:val="0"/>
          <w:sz w:val="20"/>
        </w:rPr>
        <w:t>센서 하나의 고장이 그대로 미공급 이벤트가 된다.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엔진은 정상인데 계약상 페널티가 발생하는 구조이며, 이 때문에 현재는 가용률을 계약에 강하게 걸기 어렵다.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검증 결과가 그 경로를 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항목</w:t>
            </w:r>
          </w:p>
        </w:tc>
        <w:tc>
          <w:tcPr>
            <w:tcW w:type="dxa" w:w="566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실측 결과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이웃 유닛 기반 계측 복원</w:t>
            </w:r>
          </w:p>
        </w:tc>
        <w:tc>
          <w:tcPr>
            <w:tcW w:type="dxa" w:w="5669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R² 중앙값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0.955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57대 중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54대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에서 성립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주입 고장 검출 — 동결</w:t>
            </w:r>
          </w:p>
        </w:tc>
        <w:tc>
          <w:tcPr>
            <w:tcW w:type="dxa" w:w="5669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97.6 %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주입 고장 검출 — 2 %p 편향</w:t>
            </w:r>
          </w:p>
        </w:tc>
        <w:tc>
          <w:tcPr>
            <w:tcW w:type="dxa" w:w="5669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92.6 %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(1 %p는 60.9%)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주입 고장 검출 — 3 %p 드리프트</w:t>
            </w:r>
          </w:p>
        </w:tc>
        <w:tc>
          <w:tcPr>
            <w:tcW w:type="dxa" w:w="5669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95.3 %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오경보 수준</w:t>
            </w:r>
          </w:p>
        </w:tc>
        <w:tc>
          <w:tcPr>
            <w:tcW w:type="dxa" w:w="5669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대당 하루 1건으로 고정한 상태의 값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 w:val="0"/>
          <w:i w:val="0"/>
          <w:sz w:val="20"/>
        </w:rPr>
        <w:t xml:space="preserve">복원에 실패한 3대는 </w:t>
      </w:r>
      <w:r>
        <w:rPr>
          <w:rFonts w:ascii="맑은 고딕" w:hAnsi="맑은 고딕" w:eastAsia="맑은 고딕"/>
          <w:b/>
          <w:i w:val="0"/>
          <w:sz w:val="20"/>
        </w:rPr>
        <w:t>모두 같은 급의 동료 유닛이 없던 개체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였다. 이는 기법의 한계가 아니라 성립 조건을 알려준다 — </w:t>
      </w:r>
      <w:r>
        <w:rPr>
          <w:rFonts w:ascii="맑은 고딕" w:hAnsi="맑은 고딕" w:eastAsia="맑은 고딕"/>
          <w:b/>
          <w:i w:val="0"/>
          <w:sz w:val="20"/>
        </w:rPr>
        <w:t>동종 유닛이 병렬로 존재해야 계측 이중화가 성립한다.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단일 기종 대량 납품이 이 로직의 전제조건이며, 역으로 이 로직이 단일 기종 납품을 정당화한다.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8.3 연료비는 부수적이다</w:t>
      </w:r>
    </w:p>
    <w:p>
      <w:r>
        <w:rPr>
          <w:rFonts w:ascii="맑은 고딕" w:hAnsi="맑은 고딕" w:eastAsia="맑은 고딕"/>
          <w:b w:val="0"/>
          <w:i w:val="0"/>
          <w:sz w:val="20"/>
        </w:rPr>
        <w:t>급변 경보를 이용해 상시 공회전 예비를 조건부 대기로 전환하면 연료비가 절감된다. 다만 이 규모에서는 절대액이 크지 않다.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가정 — 공회전에 따른 플랜트 효율 손실</w:t>
            </w:r>
          </w:p>
        </w:tc>
        <w:tc>
          <w:tcPr>
            <w:tcW w:type="dxa" w:w="453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연간 절감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0.3 %p</w:t>
            </w:r>
          </w:p>
        </w:tc>
        <w:tc>
          <w:tcPr>
            <w:tcW w:type="dxa" w:w="45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약 3.1억원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0.5 %p</w:t>
            </w:r>
          </w:p>
        </w:tc>
        <w:tc>
          <w:tcPr>
            <w:tcW w:type="dxa" w:w="45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약 5.5억원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1.0 %p</w:t>
            </w:r>
          </w:p>
        </w:tc>
        <w:tc>
          <w:tcPr>
            <w:tcW w:type="dxa" w:w="4535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약 10.8억원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전제 — 평균 부하율 69%(실측), 연간 발전량 1,161 GWh, 발전효율 46%, 가스 $4/MMBtu, 환율 1,400원/$. 효율 손실 폭은 가정이며 힘센 부분부하 연료소비율 곡선으로 대체 필요.</w:t>
      </w:r>
    </w:p>
    <w:p>
      <w:r>
        <w:rPr>
          <w:rFonts w:ascii="맑은 고딕" w:hAnsi="맑은 고딕" w:eastAsia="맑은 고딕"/>
          <w:b/>
          <w:i w:val="0"/>
          <w:sz w:val="20"/>
        </w:rPr>
        <w:t>따라서 연료비 절감을 전면에 세우지 않는다.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이 항목의 용도는 절감액 자체가 아니라, 입찰 시 총소유비용 비교표에서 경쟁사가 채울 수 없는 항목을 우리가 채우는 것이다.</w:t>
      </w: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9. 실행 방안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단계</w:t>
            </w:r>
          </w:p>
        </w:tc>
        <w:tc>
          <w:tcPr>
            <w:tcW w:type="dxa" w:w="113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기간</w:t>
            </w:r>
          </w:p>
        </w:tc>
        <w:tc>
          <w:tcPr>
            <w:tcW w:type="dxa" w:w="4876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내용</w:t>
            </w:r>
          </w:p>
        </w:tc>
        <w:tc>
          <w:tcPr>
            <w:tcW w:type="dxa" w:w="294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필요 데이터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즉시</w:t>
            </w:r>
          </w:p>
        </w:tc>
        <w:tc>
          <w:tcPr>
            <w:tcW w:type="dxa" w:w="487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시운전 계측 저장 방식 변경 — 합격 판정값이 아니라 원시 시계열을 제조번호에 붙여 저장. 신규 계측 불필요, 스키마 변경만</w:t>
            </w:r>
          </w:p>
        </w:tc>
        <w:tc>
          <w:tcPr>
            <w:tcW w:type="dxa" w:w="294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6개월</w:t>
            </w:r>
          </w:p>
        </w:tc>
        <w:tc>
          <w:tcPr>
            <w:tcW w:type="dxa" w:w="487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힘센 실기 텔레메트리로 본 검증 재현. ρ̄ 측정 및 φ(N) 확정</w:t>
            </w:r>
          </w:p>
        </w:tc>
        <w:tc>
          <w:tcPr>
            <w:tcW w:type="dxa" w:w="294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부하율 시계열 + 타임스탬프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1년</w:t>
            </w:r>
          </w:p>
        </w:tc>
        <w:tc>
          <w:tcPr>
            <w:tcW w:type="dxa" w:w="487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계측 이중화·고장 검출 현장 실증 →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가용률 보증 문안 확보</w:t>
            </w:r>
          </w:p>
        </w:tc>
        <w:tc>
          <w:tcPr>
            <w:tcW w:type="dxa" w:w="294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트립·정비 이력, 다채널 계측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2~3년</w:t>
            </w:r>
          </w:p>
        </w:tc>
        <w:tc>
          <w:tcPr>
            <w:tcW w:type="dxa" w:w="487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질문별 유효 피처 카탈로그 위에 질의 계층 구축, 서비스 계약 번들</w:t>
            </w:r>
          </w:p>
        </w:tc>
        <w:tc>
          <w:tcPr>
            <w:tcW w:type="dxa" w:w="294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사이트 접속, 운영 조직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/>
          <w:i w:val="0"/>
          <w:sz w:val="20"/>
        </w:rPr>
        <w:t>1단계 진입에 필요한 데이터는 두 개 컬럼뿐이다.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부하율 시계열과 타임스탬프가 있으면 6.2절의 ②③ 그룹이 전부 생성되며, 이는 판별력 상승분의 97%에 해당한다. 따라서 초기 검증 비용은 사실상 인력 시간에 국한된다.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i w:val="0"/>
          <w:sz w:val="21"/>
        </w:rPr>
        <w:t>착수 전 확인 사항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0"/>
        </w:rPr>
        <w:t xml:space="preserve">시운전 계측이 </w:t>
      </w:r>
      <w:r>
        <w:rPr>
          <w:rFonts w:ascii="맑은 고딕" w:hAnsi="맑은 고딕" w:eastAsia="맑은 고딕"/>
          <w:b/>
          <w:i w:val="0"/>
          <w:sz w:val="20"/>
        </w:rPr>
        <w:t>원시 시계열</w:t>
      </w:r>
      <w:r>
        <w:rPr>
          <w:rFonts w:ascii="맑은 고딕" w:hAnsi="맑은 고딕" w:eastAsia="맑은 고딕"/>
          <w:b w:val="0"/>
          <w:i w:val="0"/>
          <w:sz w:val="20"/>
        </w:rPr>
        <w:t>로 저장되는가, 합격 판정값만 남는가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제조번호 단위</w:t>
      </w:r>
      <w:r>
        <w:rPr>
          <w:rFonts w:ascii="맑은 고딕" w:hAnsi="맑은 고딕" w:eastAsia="맑은 고딕"/>
          <w:b w:val="0"/>
          <w:i w:val="0"/>
          <w:sz w:val="20"/>
        </w:rPr>
        <w:t>로 조회 가능한가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0"/>
        </w:rPr>
        <w:t xml:space="preserve">샘플링 주기가 </w:t>
      </w:r>
      <w:r>
        <w:rPr>
          <w:rFonts w:ascii="맑은 고딕" w:hAnsi="맑은 고딕" w:eastAsia="맑은 고딕"/>
          <w:b/>
          <w:i w:val="0"/>
          <w:sz w:val="20"/>
        </w:rPr>
        <w:t>초 단위</w:t>
      </w:r>
      <w:r>
        <w:rPr>
          <w:rFonts w:ascii="맑은 고딕" w:hAnsi="맑은 고딕" w:eastAsia="맑은 고딕"/>
          <w:b w:val="0"/>
          <w:i w:val="0"/>
          <w:sz w:val="20"/>
        </w:rPr>
        <w:t>인가 (분 단위면 응답 특성 관측 불가)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0"/>
        </w:rPr>
        <w:t xml:space="preserve">최근 출하분 중 </w:t>
      </w:r>
      <w:r>
        <w:rPr>
          <w:rFonts w:ascii="맑은 고딕" w:hAnsi="맑은 고딕" w:eastAsia="맑은 고딕"/>
          <w:b/>
          <w:i w:val="0"/>
          <w:sz w:val="20"/>
        </w:rPr>
        <w:t>현장 운전 중인 개체</w:t>
      </w:r>
      <w:r>
        <w:rPr>
          <w:rFonts w:ascii="맑은 고딕" w:hAnsi="맑은 고딕" w:eastAsia="맑은 고딕"/>
          <w:b w:val="0"/>
          <w:i w:val="0"/>
          <w:sz w:val="20"/>
        </w:rPr>
        <w:t>가 있는가 (있으면 시운전↔현장 대조로 즉시 검증 가능)</w:t>
      </w: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10. 전제와 한계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환산 전제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트레이스가 용량 대비 비율만 제공하므로 도메인별 용량이 동일하다고 가정했다. MW 환산값은 </w:t>
      </w:r>
      <w:r>
        <w:rPr>
          <w:rFonts w:ascii="맑은 고딕" w:hAnsi="맑은 고딕" w:eastAsia="맑은 고딕"/>
          <w:b/>
          <w:i w:val="0"/>
          <w:sz w:val="20"/>
        </w:rPr>
        <w:t>자릿수 감각용</w:t>
      </w:r>
      <w:r>
        <w:rPr>
          <w:rFonts w:ascii="맑은 고딕" w:hAnsi="맑은 고딕" w:eastAsia="맑은 고딕"/>
          <w:b w:val="0"/>
          <w:i w:val="0"/>
          <w:sz w:val="20"/>
        </w:rPr>
        <w:t>이며 설계값이 아니다.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데이터 시점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2019년, GPU 학습 부하 이전이다. 수천 장의 GPU가 동기화되어 움직이는 AI 부하는 급변이 더 크고 불규칙하므로, </w:t>
      </w:r>
      <w:r>
        <w:rPr>
          <w:rFonts w:ascii="맑은 고딕" w:hAnsi="맑은 고딕" w:eastAsia="맑은 고딕"/>
          <w:b/>
          <w:i w:val="0"/>
          <w:sz w:val="20"/>
        </w:rPr>
        <w:t>ρ̄와 급변 규모는 모두 하한</w:t>
      </w:r>
      <w:r>
        <w:rPr>
          <w:rFonts w:ascii="맑은 고딕" w:hAnsi="맑은 고딕" w:eastAsia="맑은 고딕"/>
          <w:b w:val="0"/>
          <w:i w:val="0"/>
          <w:sz w:val="20"/>
        </w:rPr>
        <w:t>으로 읽어야 한다.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기간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한 달치이므로 계절성은 검증할 수 없다.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미검증 영역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진동·온도·연료유량이 없어 </w:t>
      </w:r>
      <w:r>
        <w:rPr>
          <w:rFonts w:ascii="맑은 고딕" w:hAnsi="맑은 고딕" w:eastAsia="맑은 고딕"/>
          <w:b/>
          <w:i w:val="0"/>
          <w:sz w:val="20"/>
        </w:rPr>
        <w:t>엔진 자체의 예지정비는 검증되지 않았다.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본 보고서가 검증한 것은 부하 급변의 예측 가능성과 계측 신뢰도다.</w:t>
      </w:r>
    </w:p>
    <w:p>
      <w:pPr>
        <w:pStyle w:val="ListBullet"/>
        <w:spacing w:after="40" w:line="312" w:lineRule="auto"/>
      </w:pPr>
      <w:r>
        <w:rPr>
          <w:rFonts w:ascii="맑은 고딕" w:hAnsi="맑은 고딕" w:eastAsia="맑은 고딕"/>
          <w:b/>
          <w:i w:val="0"/>
          <w:sz w:val="20"/>
        </w:rPr>
        <w:t>가정 항목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발전효율 46%, 가스 $4/MMBtu, 공회전 효율 손실 0.3~1.0%p는 가정이며 사내 실측값으로 대체해야 한다. 대체하더라도 8절의 우선순위(가용률 보증 ≫ 예비력 산정 &gt; 연료비)는 바뀌지 않는다.</w:t>
      </w:r>
    </w:p>
    <w:p>
      <w:r>
        <w:br w:type="page"/>
      </w: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부록 A. 전체 수치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구분</w:t>
            </w:r>
          </w:p>
        </w:tc>
        <w:tc>
          <w:tcPr>
            <w:tcW w:type="dxa" w:w="260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지표</w:t>
            </w:r>
          </w:p>
        </w:tc>
        <w:tc>
          <w:tcPr>
            <w:tcW w:type="dxa" w:w="5556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값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</w:t>
            </w:r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규모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508,896행 · 57개 전력 도메인 · 2019년 5월 · 5분 간격 · 결측 없음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분할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학습 1~20일 / 검증 21~31일 · 검증 구간 재학습 없음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부하 급변</w:t>
            </w:r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1시간 관측 최대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5.8 MW = 정격 3.0% = 엔진 0.60대분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(192 MW 기준)</w:t>
            </w:r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1시간 p99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4.0 MW = 엔진 0.42대분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0.25대분 이상 급변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하루 1.1회 (1시간, 비중첩)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하루 총 변동 이동거리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72 MW/일 = 엔진 7.5대분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평균 부하율 / 연간 발전량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69.0% / 1,161 GWh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시계 설명력</w:t>
            </w:r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부하 레벨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R² 0.693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급변 여부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−2.3% · AUC 0.550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5분 × 요일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학습 18.4% → 검증 −13.2%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전체 피처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25.1% · AUC 0.923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시간대 진폭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최고 18시 1.44% / 최저 12시 0.51% / 평균 0.80%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실시간 상태</w:t>
            </w:r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평온 후 / 급변 후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0.59% → 26.6% (45배)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판별력 사다리 (5분)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시계 0.547 → +현재 수준 0.751 → +최근 움직임 0.916 → 최종 0.923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상위 경보 정밀도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28.2% (기저율 0.8%, 35배)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유닛 간 결합</w:t>
            </w:r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평균 쌍별 상관 ρ̄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0.107 (5분) / 0.148 (1시간)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φ(20) / φ(57)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1.95 / 3.05 (실측 2.94)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필요 추종여력 (20대, 1시간)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독립 가정 2.4 MW → 실측 4.7 MW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계측 신뢰도</w:t>
            </w:r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이웃 기반 복원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R² 중앙값 0.955 · 54/57대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주입 고장 검출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동결 97.6% / 2%p 편향 92.6% / 3%p 드리프트 95.3%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오경보</w:t>
            </w:r>
          </w:p>
        </w:tc>
        <w:tc>
          <w:tcPr>
            <w:tcW w:type="dxa" w:w="5556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대당 하루 1건 고정</w:t>
            </w:r>
          </w:p>
        </w:tc>
      </w:tr>
    </w:tbl>
    <w:p>
      <w:pPr>
        <w:spacing w:after="0"/>
      </w:pPr>
    </w:p>
    <w:p>
      <w:pPr>
        <w:keepNext/>
        <w:spacing w:before="360" w:after="140"/>
        <w:pBdr>
          <w:bottom w:val="single" w:sz="8" w:color="222222"/>
        </w:pBdr>
      </w:pPr>
      <w:r>
        <w:rPr>
          <w:rFonts w:ascii="맑은 고딕" w:hAnsi="맑은 고딕" w:eastAsia="맑은 고딕"/>
          <w:b/>
          <w:i w:val="0"/>
          <w:sz w:val="26"/>
        </w:rPr>
        <w:t>부록 B. 예상 질의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질의</w:t>
            </w:r>
          </w:p>
        </w:tc>
        <w:tc>
          <w:tcPr>
            <w:tcW w:type="dxa" w:w="6803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답변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2019년 데이터로 현재를 말할 수 있는가</w:t>
            </w:r>
          </w:p>
        </w:tc>
        <w:tc>
          <w:tcPr>
            <w:tcW w:type="dxa" w:w="6803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GPU 학습 부하 이전 데이터이므로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모든 수치가 하한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이다. 동기화된 AI 부하는 급변이 더 크고 불규칙하며, 이는 결론의 방향을 강화한다.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MW 수치는 어떻게 산출했는가</w:t>
            </w:r>
          </w:p>
        </w:tc>
        <w:tc>
          <w:tcPr>
            <w:tcW w:type="dxa" w:w="6803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트레이스가 비율만 제공하므로 도메인별 용량 동일 가정 하에 192 MW로 환산했다. 자릿수 감각용이며 설계값이 아니다.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판별력 0.55와 0.92는 무엇의 차이인가</w:t>
            </w:r>
          </w:p>
        </w:tc>
        <w:tc>
          <w:tcPr>
            <w:tcW w:type="dxa" w:w="6803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둘 다 검증 구간 값이다.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0.55는 하루 중 시각 하나만 사용한 경우, 0.92는 가용 피처를 모두 사용한 경우다. 학습/검증의 차이가 아니다.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숫자를 신뢰할 수 있는가</w:t>
            </w:r>
          </w:p>
        </w:tc>
        <w:tc>
          <w:tcPr>
            <w:tcW w:type="dxa" w:w="6803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학습 1~20일 / 검증 21~31일로 한 번만 분할하고 검증 구간에서는 재학습하지 않았다. 미래 정보 누출 방지 테스트 6종을 통과했다.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엔진 예지정비도 되는가</w:t>
            </w:r>
          </w:p>
        </w:tc>
        <w:tc>
          <w:tcPr>
            <w:tcW w:type="dxa" w:w="6803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이 데이터에는 진동·온도·연료유량이 없어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검증되지 않았다.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검증한 것은 부하 급변 예측과 계측 신뢰도이며, 엔진 예지정비는 실기 데이터 확보 후 별도 단계다.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경쟁사가 이미 하고 있지 않은가</w:t>
            </w:r>
          </w:p>
        </w:tc>
        <w:tc>
          <w:tcPr>
            <w:tcW w:type="dxa" w:w="6803"/>
          </w:tcPr>
          <w:p>
            <w:pPr>
              <w:spacing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선행 사례가 존재한다. 다만 계측 복원이 실패한 3대가 모두 동종 동료가 없던 개체였다는 점에서,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단일 기종 대량 납품이 이 로직의 전제조건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이다. 그 조건을 충족하는 위치에 우리가 있다.</w:t>
            </w:r>
          </w:p>
        </w:tc>
      </w:tr>
    </w:tbl>
    <w:p>
      <w:pPr>
        <w:spacing w:after="0"/>
      </w:pPr>
    </w:p>
    <w:p>
      <w:pPr>
        <w:spacing w:before="6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Source: Google powerdata 2019 opensource trace · training window 1~20d / test window 21~31d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