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Requirement Document – Enhancement to Loan Rescheduling Rules</w:t>
      </w:r>
    </w:p>
    <w:p>
      <w:pPr>
        <w:pStyle w:val="Heading2"/>
      </w:pPr>
      <w:r>
        <w:t>1. Background</w:t>
      </w:r>
    </w:p>
    <w:p>
      <w:r>
        <w:t>As per the baseline personal loan lifecycle defined in the core banking system, all loan lifecycle events—including rescheduling—are governed by configurable parameter tables under Product, Risk, and Repayment Parameters. The current system restricts rescheduling/restructuring of a personal loan account to **one (1) instance within a 6‑month period**, enforced through eligibility and risk parameters.</w:t>
      </w:r>
    </w:p>
    <w:p>
      <w:pPr>
        <w:pStyle w:val="Heading2"/>
      </w:pPr>
      <w:r>
        <w:t>2. Gap Identified</w:t>
      </w:r>
    </w:p>
    <w:p>
      <w:r>
        <w:t xml:space="preserve">Business operations require flexibility to accommodate customer hardship, regulatory directives, and internal restructuring programs. The existing restriction of only one rescheduling within 6 months limits operational capability.  </w:t>
      </w:r>
    </w:p>
    <w:p>
      <w:r>
        <w:t>**Gap:** Core banking parameter framework does not support more than one rescheduling event within a 6‑month window.</w:t>
      </w:r>
    </w:p>
    <w:p>
      <w:pPr>
        <w:pStyle w:val="Heading2"/>
      </w:pPr>
      <w:r>
        <w:t>3. New Requirement</w:t>
      </w:r>
    </w:p>
    <w:p>
      <w:r>
        <w:t xml:space="preserve">Enhance the core banking loan parameterisation and lifecycle logic to support **up to five (5) rescheduling/restructuring events within a rolling 6‑month window**.  </w:t>
      </w:r>
    </w:p>
    <w:p>
      <w:r>
        <w:t>Key expectations:</w:t>
      </w:r>
    </w:p>
    <w:p>
      <w:r>
        <w:t xml:space="preserve">- Parameter-driven configuration (no code changes required for future adjustments).  </w:t>
      </w:r>
    </w:p>
    <w:p>
      <w:r>
        <w:t xml:space="preserve">- Rule to be defined under **Risk &amp; Eligibility Parameters** and referenced during loan lifecycle events.  </w:t>
      </w:r>
    </w:p>
    <w:p>
      <w:r>
        <w:t xml:space="preserve">- System must validate number of reschedules already performed in the defined period before allowing the next action.  </w:t>
      </w:r>
    </w:p>
    <w:p>
      <w:r>
        <w:t>- Audit trail for each rescheduling event must be retained.</w:t>
      </w:r>
    </w:p>
    <w:p>
      <w:pPr>
        <w:pStyle w:val="Heading2"/>
      </w:pPr>
      <w:r>
        <w:t>4. Functional Changes Required</w:t>
      </w:r>
    </w:p>
    <w:p>
      <w:r>
        <w:t xml:space="preserve">- Introduce a new parameter: **Max_Reschedules_6M** at Product level (default value: 5).  </w:t>
      </w:r>
    </w:p>
    <w:p>
      <w:r>
        <w:t xml:space="preserve">- Modify loan lifecycle validation to reference this parameter before approving rescheduling.  </w:t>
      </w:r>
    </w:p>
    <w:p>
      <w:r>
        <w:t xml:space="preserve">- Update rescheduling workflow to track cumulative rescheduling count within the last 6 months.  </w:t>
      </w:r>
    </w:p>
    <w:p>
      <w:r>
        <w:t>- Ensure compatibility with interest recalculation, EMI reworking, and accounting rules derived from existing parameters.</w:t>
      </w:r>
    </w:p>
    <w:p>
      <w:pPr>
        <w:pStyle w:val="Heading2"/>
      </w:pPr>
      <w:r>
        <w:t>5. Impact Areas</w:t>
      </w:r>
    </w:p>
    <w:p>
      <w:r>
        <w:t xml:space="preserve">- **Loan Origination &amp; Maintenance:** Adjustments in the rescheduling flow.  </w:t>
      </w:r>
    </w:p>
    <w:p>
      <w:r>
        <w:t xml:space="preserve">- **Repayment Schedule Generation:** Regeneration of EMI and tenure based on updated rules.  </w:t>
      </w:r>
    </w:p>
    <w:p>
      <w:r>
        <w:t xml:space="preserve">- **Delinquency &amp; Risk:** Parameter-based validation must not break existing NPA classification logic.  </w:t>
      </w:r>
    </w:p>
    <w:p>
      <w:r>
        <w:t xml:space="preserve">- **Reports &amp; Audit Logs:** Existing audit module to store each rescheduling instance.  </w:t>
      </w:r>
    </w:p>
    <w:p>
      <w:pPr>
        <w:pStyle w:val="Heading2"/>
      </w:pPr>
      <w:r>
        <w:t>6. Out of Scope</w:t>
      </w:r>
    </w:p>
    <w:p>
      <w:r>
        <w:t xml:space="preserve">- Changes to pricing rules, eligibility scoring, or credit bureau checks.  </w:t>
      </w:r>
    </w:p>
    <w:p>
      <w:r>
        <w:t>- Modifications to disbursement, foreclosure, or accounting processes outside rescheduling logic.</w:t>
      </w:r>
    </w:p>
    <w:p>
      <w:pPr>
        <w:pStyle w:val="Heading2"/>
      </w:pPr>
      <w:r>
        <w:t>7. Purpose of This Document</w:t>
      </w:r>
    </w:p>
    <w:p>
      <w:r>
        <w:t>This concise requirement document is aligned with the baseline personal loan lifecycle and parameterisation framework. It serves as input for BRD preparation, solution detailing, and test scenario creation for the enhanced rescheduling capability.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