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i w:val="1"/>
          <w:color w:val="434343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i w:val="1"/>
          <w:color w:val="bc86b6"/>
          <w:sz w:val="40"/>
          <w:szCs w:val="40"/>
          <w:rtl w:val="0"/>
        </w:rPr>
        <w:t xml:space="preserve">Cheatsheet IOCLA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Clase de instrucțiuni</w:t>
      </w:r>
    </w:p>
    <w:p w:rsidR="00000000" w:rsidDel="00000000" w:rsidP="00000000" w:rsidRDefault="00000000" w:rsidRPr="00000000" w14:paraId="00000005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i w:val="1"/>
          <w:color w:val="434343"/>
          <w:sz w:val="20"/>
          <w:szCs w:val="20"/>
        </w:rPr>
      </w:pPr>
      <w:r w:rsidDel="00000000" w:rsidR="00000000" w:rsidRPr="00000000">
        <w:rPr>
          <w:b w:val="1"/>
          <w:i w:val="1"/>
          <w:color w:val="434343"/>
          <w:sz w:val="20"/>
          <w:szCs w:val="20"/>
          <w:rtl w:val="0"/>
        </w:rPr>
        <w:t xml:space="preserve">Instrucțiuni de transfer de date</w:t>
      </w:r>
    </w:p>
    <w:p w:rsidR="00000000" w:rsidDel="00000000" w:rsidP="00000000" w:rsidRDefault="00000000" w:rsidRPr="00000000" w14:paraId="00000007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114300" distT="114300" distL="114300" distR="114300">
            <wp:extent cx="2644105" cy="99810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05" cy="998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both"/>
        <w:rPr>
          <w:b w:val="1"/>
          <w:i w:val="1"/>
          <w:color w:val="434343"/>
          <w:sz w:val="20"/>
          <w:szCs w:val="20"/>
        </w:rPr>
      </w:pPr>
      <w:r w:rsidDel="00000000" w:rsidR="00000000" w:rsidRPr="00000000">
        <w:rPr>
          <w:b w:val="1"/>
          <w:i w:val="1"/>
          <w:color w:val="434343"/>
          <w:sz w:val="20"/>
          <w:szCs w:val="20"/>
          <w:rtl w:val="0"/>
        </w:rPr>
        <w:t xml:space="preserve">Instrucțiuni de control</w:t>
      </w:r>
    </w:p>
    <w:p w:rsidR="00000000" w:rsidDel="00000000" w:rsidP="00000000" w:rsidRDefault="00000000" w:rsidRPr="00000000" w14:paraId="0000000A">
      <w:pPr>
        <w:spacing w:after="200" w:lineRule="auto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114300" distT="114300" distL="114300" distR="114300">
            <wp:extent cx="2647950" cy="184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i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i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i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i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i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i w:val="1"/>
          <w:color w:val="434343"/>
          <w:sz w:val="20"/>
          <w:szCs w:val="20"/>
          <w:rtl w:val="0"/>
        </w:rPr>
        <w:t xml:space="preserve">Instrucțiuni aritmetice și logice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</w:rPr>
        <w:drawing>
          <wp:inline distB="114300" distT="114300" distL="114300" distR="114300">
            <wp:extent cx="2157413" cy="26189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61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Subsecțiuni ale registrelor</w:t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114300" distT="114300" distL="114300" distR="114300">
            <wp:extent cx="2224088" cy="230409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304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Subregistrele fac parte din registre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, ceea ce înseamnă că dacă modificăm un registru, în mod implicit modificăm și valoarea subregistrului.</w:t>
      </w:r>
    </w:p>
    <w:p w:rsidR="00000000" w:rsidDel="00000000" w:rsidP="00000000" w:rsidRDefault="00000000" w:rsidRPr="00000000" w14:paraId="00000016">
      <w:pPr>
        <w:spacing w:after="200" w:lineRule="auto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4"/>
          <w:szCs w:val="24"/>
          <w:rtl w:val="0"/>
        </w:rPr>
        <w:t xml:space="preserve">Directive de dimensiune</w:t>
      </w:r>
    </w:p>
    <w:p w:rsidR="00000000" w:rsidDel="00000000" w:rsidP="00000000" w:rsidRDefault="00000000" w:rsidRPr="00000000" w14:paraId="00000018">
      <w:pPr>
        <w:jc w:val="center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4"/>
          <w:szCs w:val="24"/>
        </w:rPr>
        <w:drawing>
          <wp:inline distB="114300" distT="114300" distL="114300" distR="114300">
            <wp:extent cx="1714500" cy="1362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Mută valoarea 2 în </w:t>
      </w:r>
      <w:r w:rsidDel="00000000" w:rsidR="00000000" w:rsidRPr="00000000">
        <w:rPr>
          <w:b w:val="1"/>
          <w:color w:val="434343"/>
          <w:sz w:val="20"/>
          <w:szCs w:val="20"/>
          <w:shd w:fill="ffc7a4" w:val="clear"/>
          <w:rtl w:val="0"/>
        </w:rPr>
        <w:t xml:space="preserve">octetul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de la adresa conținută în EBX - </w:t>
      </w:r>
      <w:r w:rsidDel="00000000" w:rsidR="00000000" w:rsidRPr="00000000">
        <w:rPr>
          <w:b w:val="1"/>
          <w:color w:val="434343"/>
          <w:sz w:val="20"/>
          <w:szCs w:val="20"/>
          <w:shd w:fill="ffc7a4" w:val="clear"/>
          <w:rtl w:val="0"/>
        </w:rPr>
        <w:t xml:space="preserve">BYTE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Mută întregul 2 reprezentat pe 16 biți în cei </w:t>
      </w:r>
      <w:r w:rsidDel="00000000" w:rsidR="00000000" w:rsidRPr="00000000">
        <w:rPr>
          <w:b w:val="1"/>
          <w:color w:val="434343"/>
          <w:sz w:val="20"/>
          <w:szCs w:val="20"/>
          <w:shd w:fill="ffc7a4" w:val="clear"/>
          <w:rtl w:val="0"/>
        </w:rPr>
        <w:t xml:space="preserve">2 octeți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începând de la adresa conținută în EBX - </w:t>
      </w:r>
      <w:r w:rsidDel="00000000" w:rsidR="00000000" w:rsidRPr="00000000">
        <w:rPr>
          <w:b w:val="1"/>
          <w:color w:val="434343"/>
          <w:sz w:val="20"/>
          <w:szCs w:val="20"/>
          <w:shd w:fill="ffc7a4" w:val="clear"/>
          <w:rtl w:val="0"/>
        </w:rPr>
        <w:t xml:space="preserve">WORD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Mută întregul 2 reprezentat pe 32 de biți în cei </w:t>
      </w:r>
      <w:r w:rsidDel="00000000" w:rsidR="00000000" w:rsidRPr="00000000">
        <w:rPr>
          <w:b w:val="1"/>
          <w:color w:val="434343"/>
          <w:sz w:val="20"/>
          <w:szCs w:val="20"/>
          <w:shd w:fill="ffc7a4" w:val="clear"/>
          <w:rtl w:val="0"/>
        </w:rPr>
        <w:t xml:space="preserve">4 octeți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începând de la adresa conținută în EBX -</w:t>
      </w:r>
      <w:r w:rsidDel="00000000" w:rsidR="00000000" w:rsidRPr="00000000">
        <w:rPr>
          <w:color w:val="434343"/>
          <w:sz w:val="20"/>
          <w:szCs w:val="20"/>
          <w:shd w:fill="ffc7a4" w:val="clear"/>
          <w:rtl w:val="0"/>
        </w:rPr>
        <w:t xml:space="preserve"> </w:t>
      </w:r>
      <w:r w:rsidDel="00000000" w:rsidR="00000000" w:rsidRPr="00000000">
        <w:rPr>
          <w:b w:val="1"/>
          <w:color w:val="434343"/>
          <w:sz w:val="20"/>
          <w:szCs w:val="20"/>
          <w:shd w:fill="ffc7a4" w:val="clear"/>
          <w:rtl w:val="0"/>
        </w:rPr>
        <w:t xml:space="preserve">DWORD</w:t>
      </w:r>
    </w:p>
    <w:p w:rsidR="00000000" w:rsidDel="00000000" w:rsidP="00000000" w:rsidRDefault="00000000" w:rsidRPr="00000000" w14:paraId="0000001C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4"/>
          <w:szCs w:val="24"/>
          <w:rtl w:val="0"/>
        </w:rPr>
        <w:t xml:space="preserve">Instrucțiunea loop</w:t>
      </w:r>
    </w:p>
    <w:p w:rsidR="00000000" w:rsidDel="00000000" w:rsidP="00000000" w:rsidRDefault="00000000" w:rsidRPr="00000000" w14:paraId="0000001F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se folosește pentru bucle cu un număr de iterații prestabilit, încărcat în registrul ECX</w:t>
      </w:r>
    </w:p>
    <w:tbl>
      <w:tblPr>
        <w:tblStyle w:val="Table1"/>
        <w:tblW w:w="3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tblGridChange w:id="0">
          <w:tblGrid>
            <w:gridCol w:w="3360"/>
          </w:tblGrid>
        </w:tblGridChange>
      </w:tblGrid>
      <w:tr>
        <w:trPr>
          <w:cantSplit w:val="0"/>
          <w:trHeight w:val="1535.9374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mov ecx, 10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; Inițializează ECX cu nr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333333"/>
                <w:sz w:val="20"/>
                <w:szCs w:val="20"/>
                <w:shd w:fill="f7f9fa" w:val="clear"/>
                <w:rtl w:val="0"/>
              </w:rPr>
              <w:t xml:space="preserve">; de iterații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label: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333333"/>
                <w:sz w:val="20"/>
                <w:szCs w:val="20"/>
                <w:shd w:fill="f7f9fa" w:val="clear"/>
                <w:rtl w:val="0"/>
              </w:rPr>
              <w:t xml:space="preserve">; conținutul buclei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20" w:line="240" w:lineRule="auto"/>
              <w:jc w:val="both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loop 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la fiecare iterație, se decrementează registrul ECX și se verifică dacă este diferit de 0</w:t>
      </w:r>
    </w:p>
    <w:p w:rsidR="00000000" w:rsidDel="00000000" w:rsidP="00000000" w:rsidRDefault="00000000" w:rsidRPr="00000000" w14:paraId="0000002A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114300" distT="114300" distL="114300" distR="114300">
            <wp:extent cx="2647950" cy="1066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4"/>
          <w:szCs w:val="24"/>
          <w:rtl w:val="0"/>
        </w:rPr>
        <w:t xml:space="preserve">Structuri</w:t>
      </w:r>
    </w:p>
    <w:p w:rsidR="00000000" w:rsidDel="00000000" w:rsidP="00000000" w:rsidRDefault="00000000" w:rsidRPr="00000000" w14:paraId="00000030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i w:val="1"/>
          <w:color w:val="434343"/>
        </w:rPr>
      </w:pPr>
      <w:r w:rsidDel="00000000" w:rsidR="00000000" w:rsidRPr="00000000">
        <w:rPr>
          <w:b w:val="1"/>
          <w:i w:val="1"/>
          <w:color w:val="434343"/>
          <w:rtl w:val="0"/>
        </w:rPr>
        <w:t xml:space="preserve">Declarare</w:t>
      </w:r>
    </w:p>
    <w:p w:rsidR="00000000" w:rsidDel="00000000" w:rsidP="00000000" w:rsidRDefault="00000000" w:rsidRPr="00000000" w14:paraId="00000032">
      <w:pPr>
        <w:jc w:val="both"/>
        <w:rPr>
          <w:b w:val="1"/>
          <w:i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o structură se declară folosind construcția struc &lt;nume structura&gt;, urmată de o listă de câmpuri și încheiată cu endstruc</w:t>
      </w:r>
    </w:p>
    <w:p w:rsidR="00000000" w:rsidDel="00000000" w:rsidP="00000000" w:rsidRDefault="00000000" w:rsidRPr="00000000" w14:paraId="00000034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20" w:lineRule="auto"/>
        <w:jc w:val="both"/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172.5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2.58"/>
        <w:tblGridChange w:id="0">
          <w:tblGrid>
            <w:gridCol w:w="4172.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struc mystruct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333333"/>
                <w:sz w:val="20"/>
                <w:szCs w:val="20"/>
                <w:shd w:fill="f7f9fa" w:val="clear"/>
                <w:rtl w:val="0"/>
              </w:rPr>
              <w:t xml:space="preserve">a:    resw 1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; a va referi un singur element ; de dimensiune un cuvânt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333333"/>
                <w:sz w:val="20"/>
                <w:szCs w:val="20"/>
                <w:shd w:fill="f7f9fa" w:val="clear"/>
                <w:rtl w:val="0"/>
              </w:rPr>
              <w:t xml:space="preserve">b:    resd 1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; b va referi un singur element ; de dimensiune un dublu cuvânt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333333"/>
                <w:sz w:val="20"/>
                <w:szCs w:val="20"/>
                <w:shd w:fill="f7f9fa" w:val="clear"/>
                <w:rtl w:val="0"/>
              </w:rPr>
              <w:t xml:space="preserve">c:    resb 1  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; c va referi un singur element ; de dimensiune un octet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333333"/>
                <w:sz w:val="20"/>
                <w:szCs w:val="20"/>
                <w:shd w:fill="f7f9fa" w:val="clear"/>
                <w:rtl w:val="0"/>
              </w:rPr>
              <w:t xml:space="preserve">d:    resd 1 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; d va referi un singur element ; de dimensiune un dublu cuvânt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333333"/>
                <w:sz w:val="20"/>
                <w:szCs w:val="20"/>
                <w:shd w:fill="f7f9fa" w:val="clear"/>
                <w:rtl w:val="0"/>
              </w:rPr>
              <w:t xml:space="preserve">e:    resb 6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; e va referi 6 elemente de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shd w:fill="f7f9fa" w:val="clear"/>
                <w:rtl w:val="0"/>
              </w:rPr>
              <w:t xml:space="preserve">; dimensiune un octet endstruc</w:t>
            </w:r>
          </w:p>
        </w:tc>
      </w:tr>
    </w:tbl>
    <w:p w:rsidR="00000000" w:rsidDel="00000000" w:rsidP="00000000" w:rsidRDefault="00000000" w:rsidRPr="00000000" w14:paraId="00000047">
      <w:pPr>
        <w:spacing w:after="220" w:lineRule="auto"/>
        <w:jc w:val="both"/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20" w:lineRule="auto"/>
        <w:jc w:val="both"/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omfortaa" w:cs="Comfortaa" w:eastAsia="Comfortaa" w:hAnsi="Comfortaa"/>
          <w:b w:val="1"/>
          <w:color w:val="43434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4"/>
          <w:szCs w:val="24"/>
          <w:rtl w:val="0"/>
        </w:rPr>
        <w:t xml:space="preserve">Gestiunea bufferelor</w:t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  <w:color w:val="333333"/>
          <w:sz w:val="20"/>
          <w:szCs w:val="20"/>
          <w:shd w:fill="f7f9fa" w:val="clear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24"/>
          <w:szCs w:val="24"/>
          <w:rtl w:val="0"/>
        </w:rPr>
        <w:t xml:space="preserve">Buffer overflow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jc w:val="both"/>
        <w:rPr>
          <w:color w:val="434343"/>
          <w:sz w:val="20"/>
          <w:szCs w:val="20"/>
        </w:rPr>
      </w:pP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Buffer 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= zonă de memorie definită printr-o adresă de start și o dimensiune. Fie N dimensiunea bufferului, adică numărul de elemente. </w:t>
      </w: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Dimensiunea totală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 a bufferului este </w:t>
      </w:r>
      <w:r w:rsidDel="00000000" w:rsidR="00000000" w:rsidRPr="00000000">
        <w:rPr>
          <w:b w:val="1"/>
          <w:color w:val="434343"/>
          <w:sz w:val="20"/>
          <w:szCs w:val="20"/>
          <w:rtl w:val="0"/>
        </w:rPr>
        <w:t xml:space="preserve">N x dimensiunea unui element</w:t>
      </w:r>
      <w:r w:rsidDel="00000000" w:rsidR="00000000" w:rsidRPr="00000000">
        <w:rPr>
          <w:color w:val="434343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00" w:lineRule="auto"/>
        <w:ind w:left="720" w:hanging="360"/>
        <w:jc w:val="both"/>
        <w:rPr>
          <w:color w:val="434343"/>
          <w:sz w:val="20"/>
          <w:szCs w:val="20"/>
          <w:u w:val="none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un șir de caractere (string) este un caz particular de buffer</w:t>
      </w:r>
    </w:p>
    <w:p w:rsidR="00000000" w:rsidDel="00000000" w:rsidP="00000000" w:rsidRDefault="00000000" w:rsidRPr="00000000" w14:paraId="0000004F">
      <w:pPr>
        <w:spacing w:after="200" w:lineRule="auto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720" w:w="4172.58"/>
        <w:col w:space="720" w:w="4172.58"/>
        <w:col w:space="0" w:w="4172.5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