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Lobster" w:cs="Lobster" w:eastAsia="Lobster" w:hAnsi="Lobster"/>
          <w:sz w:val="30"/>
          <w:szCs w:val="30"/>
        </w:rPr>
      </w:pPr>
      <w:r w:rsidDel="00000000" w:rsidR="00000000" w:rsidRPr="00000000">
        <w:rPr>
          <w:rFonts w:ascii="Lobster" w:cs="Lobster" w:eastAsia="Lobster" w:hAnsi="Lobster"/>
          <w:sz w:val="30"/>
          <w:szCs w:val="30"/>
          <w:rtl w:val="0"/>
        </w:rPr>
        <w:t xml:space="preserve">SWOT Analysis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2205"/>
        <w:gridCol w:w="2445"/>
        <w:gridCol w:w="2880"/>
        <w:tblGridChange w:id="0">
          <w:tblGrid>
            <w:gridCol w:w="2565"/>
            <w:gridCol w:w="2205"/>
            <w:gridCol w:w="2445"/>
            <w:gridCol w:w="28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hd w:fill="ffc39a" w:val="clear"/>
              </w:rPr>
            </w:pPr>
            <w:r w:rsidDel="00000000" w:rsidR="00000000" w:rsidRPr="00000000">
              <w:rPr>
                <w:b w:val="1"/>
                <w:shd w:fill="ffc39a" w:val="clear"/>
                <w:rtl w:val="0"/>
              </w:rPr>
              <w:t xml:space="preserve">S - avantaje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hd w:fill="ffc39a" w:val="clear"/>
              </w:rPr>
            </w:pPr>
            <w:r w:rsidDel="00000000" w:rsidR="00000000" w:rsidRPr="00000000">
              <w:rPr>
                <w:b w:val="1"/>
                <w:shd w:fill="ffc39a" w:val="clear"/>
                <w:rtl w:val="0"/>
              </w:rPr>
              <w:t xml:space="preserve">W - limite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hd w:fill="ffc39a" w:val="clear"/>
              </w:rPr>
            </w:pPr>
            <w:r w:rsidDel="00000000" w:rsidR="00000000" w:rsidRPr="00000000">
              <w:rPr>
                <w:b w:val="1"/>
                <w:shd w:fill="ffc39a" w:val="clear"/>
                <w:rtl w:val="0"/>
              </w:rPr>
              <w:t xml:space="preserve">O - oportunități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hd w:fill="ffc39a" w:val="clear"/>
              </w:rPr>
            </w:pPr>
            <w:r w:rsidDel="00000000" w:rsidR="00000000" w:rsidRPr="00000000">
              <w:rPr>
                <w:b w:val="1"/>
                <w:shd w:fill="ffc39a" w:val="clear"/>
                <w:rtl w:val="0"/>
              </w:rPr>
              <w:t xml:space="preserve">T - amenințări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Număr mai mare de zile de odihnă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Salariu limitat, </w:t>
            </w:r>
            <w:r w:rsidDel="00000000" w:rsidR="00000000" w:rsidRPr="00000000">
              <w:rPr>
                <w:rtl w:val="0"/>
              </w:rPr>
              <w:t xml:space="preserve">recompensa financiara nu se ridica la nivelul efortului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Meditații și/sau cursuri extrașcolare (venit suplimentar)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Evoluează tehnologia și materia predata devine inutilă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Lucrul cu copiii, respectiv adolescenții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 școlară impune anumite materii obligatorii, dar inutile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 de lucru flexibil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Dacă nu este un bun pedagog, elevii vor primi o educație greșită reflectată asupra societății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 de muncă stabil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Multă răbdare în activitatea de predat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roiecte de cercetare, schimb de experiență în alte țări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Părinții pot deveni agresivi față de profesor în cazul în care elevul obține o notă proastă.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Venit stabil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Concediu neflexibil, fixat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Mereu în pas cu generațiile de tineri și cu inovațiile în domeniu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Posibilitatea de învățare și dezvoltare continuă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Statut subestimat în prezent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Posibilitatea de a influența tineri aflați în dezvoltare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Lipsa dotărilor (de exemplu - laboratoare de chimie, biologie, fizică neadecvate)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180975</wp:posOffset>
            </wp:positionV>
            <wp:extent cx="6443663" cy="359563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24916" t="29805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3595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pageBreakBefore w:val="0"/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firstLine="566.9291338582675"/>
        <w:rPr/>
      </w:pPr>
      <w:r w:rsidDel="00000000" w:rsidR="00000000" w:rsidRPr="00000000">
        <w:rPr>
          <w:rtl w:val="0"/>
        </w:rPr>
        <w:t xml:space="preserve">Aplicații realizate de Dicu Adrian-Emanuel (311CC), Duță Cosmin-Mihail (311CC) și Florea Daria-Mihaela (311CC).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bst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