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Lobster" w:cs="Lobster" w:eastAsia="Lobster" w:hAnsi="Lobster"/>
          <w:color w:val="434343"/>
          <w:sz w:val="34"/>
          <w:szCs w:val="34"/>
          <w:shd w:fill="e8d9ff" w:val="clear"/>
        </w:rPr>
      </w:pPr>
      <w:r w:rsidDel="00000000" w:rsidR="00000000" w:rsidRPr="00000000">
        <w:rPr>
          <w:rFonts w:ascii="Lobster" w:cs="Lobster" w:eastAsia="Lobster" w:hAnsi="Lobster"/>
          <w:color w:val="434343"/>
          <w:sz w:val="34"/>
          <w:szCs w:val="34"/>
          <w:shd w:fill="e8d9ff" w:val="clear"/>
          <w:rtl w:val="0"/>
        </w:rPr>
        <w:t xml:space="preserve">Examen Tehnici de comunicare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Lobster" w:cs="Lobster" w:eastAsia="Lobster" w:hAnsi="Lobster"/>
          <w:color w:val="434343"/>
          <w:sz w:val="34"/>
          <w:szCs w:val="34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40" w:before="240" w:line="276" w:lineRule="auto"/>
        <w:ind w:left="36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1.  În vederea realizării unui interviu, alcătuiți o listă de exigențe psihosociale necesare unui absolvent de Automatică și Calculatoare care își propune să ocupe un post în cercetare. Gândiți aceste caracteristici* pe următoarele 4 dimensiuni:</w:t>
      </w:r>
    </w:p>
    <w:p w:rsidR="00000000" w:rsidDel="00000000" w:rsidP="00000000" w:rsidRDefault="00000000" w:rsidRPr="00000000" w14:paraId="00000004">
      <w:pPr>
        <w:pageBreakBefore w:val="0"/>
        <w:spacing w:after="240" w:before="240" w:line="276" w:lineRule="auto"/>
        <w:ind w:left="36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4"/>
          <w:szCs w:val="24"/>
          <w:rtl w:val="0"/>
        </w:rPr>
        <w:t xml:space="preserve"> Intelectual-cognitiv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(abilități cognitive necesare absolventului) : creativitate și gândire laterală, flexibilitate cognitivă, depanarea, percepția. Astfel, absolventul trebuie să fie curios, creativ, să aibă capacități de asociere și adaptare dezvoltate.</w:t>
      </w:r>
    </w:p>
    <w:p w:rsidR="00000000" w:rsidDel="00000000" w:rsidP="00000000" w:rsidRDefault="00000000" w:rsidRPr="00000000" w14:paraId="00000005">
      <w:pPr>
        <w:pageBreakBefore w:val="0"/>
        <w:spacing w:after="240" w:before="240" w:line="276" w:lineRule="auto"/>
        <w:ind w:left="36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4"/>
          <w:szCs w:val="24"/>
          <w:rtl w:val="0"/>
        </w:rPr>
        <w:t xml:space="preserve"> Motivațional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: perseverent, optimist, ambițios, muncitor, capabil să motiveze atât personale din jurul său, cât și pe el însuși </w:t>
      </w:r>
    </w:p>
    <w:p w:rsidR="00000000" w:rsidDel="00000000" w:rsidP="00000000" w:rsidRDefault="00000000" w:rsidRPr="00000000" w14:paraId="00000006">
      <w:pPr>
        <w:pageBreakBefore w:val="0"/>
        <w:spacing w:after="240" w:before="240" w:line="276" w:lineRule="auto"/>
        <w:ind w:left="36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4"/>
          <w:szCs w:val="24"/>
          <w:rtl w:val="0"/>
        </w:rPr>
        <w:t xml:space="preserve">Personalitate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(trăsături care se manifestă constant): responsabil, prietenos, sociabil, organizat, aplecare către multitasking, foarte concentrat pe obiective</w:t>
      </w:r>
    </w:p>
    <w:p w:rsidR="00000000" w:rsidDel="00000000" w:rsidP="00000000" w:rsidRDefault="00000000" w:rsidRPr="00000000" w14:paraId="00000007">
      <w:pPr>
        <w:pageBreakBefore w:val="0"/>
        <w:spacing w:after="240" w:before="240" w:line="276" w:lineRule="auto"/>
        <w:ind w:left="36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-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4"/>
          <w:szCs w:val="24"/>
          <w:rtl w:val="0"/>
        </w:rPr>
        <w:t xml:space="preserve">Social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(lucrul în grup, echipa etc.): cooperarea / lucrul în echipă / teamwork, empatia, leadership / îndrumare / coordonare, comunicare eficientă, asertivitate</w:t>
      </w:r>
    </w:p>
    <w:p w:rsidR="00000000" w:rsidDel="00000000" w:rsidP="00000000" w:rsidRDefault="00000000" w:rsidRPr="00000000" w14:paraId="00000008">
      <w:pPr>
        <w:pageBreakBefore w:val="0"/>
        <w:spacing w:after="240" w:before="240" w:line="276" w:lineRule="auto"/>
        <w:ind w:left="36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*5 caracteristici la fiecare dimensiune.</w:t>
      </w:r>
    </w:p>
    <w:p w:rsidR="00000000" w:rsidDel="00000000" w:rsidP="00000000" w:rsidRDefault="00000000" w:rsidRPr="00000000" w14:paraId="00000009">
      <w:pPr>
        <w:pageBreakBefore w:val="0"/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2. Definiti epilogul, metafora si subliniați rolul lor într-un discurs.</w:t>
      </w:r>
    </w:p>
    <w:p w:rsidR="00000000" w:rsidDel="00000000" w:rsidP="00000000" w:rsidRDefault="00000000" w:rsidRPr="00000000" w14:paraId="0000000B">
      <w:pPr>
        <w:pageBreakBefore w:val="0"/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4"/>
          <w:szCs w:val="24"/>
          <w:rtl w:val="0"/>
        </w:rPr>
        <w:t xml:space="preserve">Epilogul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este secțiunea finală a unui discurs, având rolul de a da un ultim asalt pentru câștigarea minții auditoriului. Astfel, se recapitulează ideile și se face o sinteză, fiind un final, de cele mai multe ori, mobilizator.  </w:t>
      </w:r>
    </w:p>
    <w:p w:rsidR="00000000" w:rsidDel="00000000" w:rsidP="00000000" w:rsidRDefault="00000000" w:rsidRPr="00000000" w14:paraId="0000000C">
      <w:pPr>
        <w:pageBreakBefore w:val="0"/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4"/>
          <w:szCs w:val="24"/>
          <w:rtl w:val="0"/>
        </w:rPr>
        <w:t xml:space="preserve">Metafora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este figura oratorică în care un cuvânt este înlocuit în temeiul unei baze semice cu alt cuvânt, având, de asemenea, alt sens. Într-un discurs, metaforele sunt utilizate pentru a accentua ideile și pentru a face audiența să simtă și să vadă mai clar conceptul expus.</w:t>
      </w:r>
    </w:p>
    <w:p w:rsidR="00000000" w:rsidDel="00000000" w:rsidP="00000000" w:rsidRDefault="00000000" w:rsidRPr="00000000" w14:paraId="0000000D">
      <w:pPr>
        <w:pageBreakBefore w:val="0"/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3. Cum se explică un conflict din perspectiva Analizei tranzacționale?</w:t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4"/>
          <w:szCs w:val="24"/>
          <w:rtl w:val="0"/>
        </w:rPr>
        <w:t xml:space="preserve">Analiza tranzacțională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= o abordare psihologică ce afirmă că relațiile umane constau într-un flux constant de stimuli și semnale, adică tranzacții</w:t>
      </w:r>
    </w:p>
    <w:p w:rsidR="00000000" w:rsidDel="00000000" w:rsidP="00000000" w:rsidRDefault="00000000" w:rsidRPr="00000000" w14:paraId="00000010">
      <w:pPr>
        <w:pageBreakBefore w:val="0"/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4"/>
          <w:szCs w:val="24"/>
          <w:rtl w:val="0"/>
        </w:rPr>
        <w:t xml:space="preserve">Conflictele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sunt generate de tranzacții încrucișate create în urma relaționării dintre oameni. O astfel de tranzacție poate fi stimul tip Adult-Adult și răspuns Părinte-Copil, când nu se mai comunică pe aceeași lungime de undă, iar probabilitatea de generare a incidentelor sau chiar a conflictelor este înaltă. </w:t>
      </w:r>
    </w:p>
    <w:p w:rsidR="00000000" w:rsidDel="00000000" w:rsidP="00000000" w:rsidRDefault="00000000" w:rsidRPr="00000000" w14:paraId="00000011">
      <w:pPr>
        <w:pageBreakBefore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</w:rPr>
        <w:drawing>
          <wp:inline distB="114300" distT="114300" distL="114300" distR="114300">
            <wp:extent cx="1814513" cy="10546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1054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obster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Daria-Mihaela Florea, 311CC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