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FC" w:rsidRDefault="009160F8" w:rsidP="00203DFC">
      <w:pPr>
        <w:pStyle w:val="Title"/>
      </w:pPr>
      <w:r w:rsidRPr="009160F8">
        <w:t>GTPlot Metadata Tables Overview</w:t>
      </w:r>
    </w:p>
    <w:p w:rsidR="009160F8" w:rsidRDefault="009160F8" w:rsidP="009160F8">
      <w:r>
        <w:t xml:space="preserve">The GTPlot metadata gives the </w:t>
      </w:r>
      <w:r w:rsidR="00203DFC">
        <w:t>GIS Administrator the ability to create and modify Map Product</w:t>
      </w:r>
      <w:r>
        <w:t>s</w:t>
      </w:r>
      <w:r w:rsidR="00203DFC">
        <w:t>.</w:t>
      </w:r>
      <w:r>
        <w:t xml:space="preserve">  All map products are defined using metadata stored in Oracle tables therefore GIS system administrators can easily Name, Rename, Save, Copy or Delete map products using SQL.</w:t>
      </w:r>
    </w:p>
    <w:p w:rsidR="009160F8" w:rsidRDefault="009160F8" w:rsidP="009160F8"/>
    <w:p w:rsidR="00203DFC" w:rsidRDefault="009160F8" w:rsidP="009160F8">
      <w:r>
        <w:t>Changes to GTPlot Map Products are</w:t>
      </w:r>
      <w:r w:rsidR="00203DFC">
        <w:t xml:space="preserve"> done by manipulating the following GT_PLOT_* metadata tables that drive the </w:t>
      </w:r>
      <w:r w:rsidR="00203DFC">
        <w:rPr>
          <w:b/>
        </w:rPr>
        <w:t>Plot Boundary</w:t>
      </w:r>
      <w:r w:rsidR="00203DFC">
        <w:t xml:space="preserve"> placement technique and </w:t>
      </w:r>
      <w:r w:rsidR="00203DFC">
        <w:rPr>
          <w:b/>
        </w:rPr>
        <w:t>New Plot</w:t>
      </w:r>
      <w:r w:rsidR="005E3F8D">
        <w:rPr>
          <w:b/>
        </w:rPr>
        <w:t xml:space="preserve"> Window</w:t>
      </w:r>
      <w:r w:rsidR="00203DFC">
        <w:t xml:space="preserve"> custom command.</w:t>
      </w:r>
    </w:p>
    <w:p w:rsidR="00203DFC" w:rsidRDefault="00203DFC" w:rsidP="00203DFC">
      <w:pPr>
        <w:rPr>
          <w:color w:val="0070C0"/>
        </w:rPr>
      </w:pPr>
    </w:p>
    <w:p w:rsidR="005854FB" w:rsidRDefault="005854FB" w:rsidP="005854FB">
      <w:pPr>
        <w:ind w:left="720"/>
        <w:rPr>
          <w:color w:val="0070C0"/>
        </w:rPr>
      </w:pPr>
      <w:r>
        <w:rPr>
          <w:b/>
          <w:color w:val="0070C0"/>
        </w:rPr>
        <w:t>GT_PLOT_PARAMETER</w:t>
      </w:r>
      <w:r>
        <w:rPr>
          <w:color w:val="0070C0"/>
        </w:rPr>
        <w:t xml:space="preserve"> – Defines a number of </w:t>
      </w:r>
      <w:r w:rsidRPr="00FD44AF">
        <w:rPr>
          <w:color w:val="0070C0"/>
        </w:rPr>
        <w:t>paramet</w:t>
      </w:r>
      <w:r>
        <w:rPr>
          <w:color w:val="0070C0"/>
        </w:rPr>
        <w:t>ers used by the GTPlot software</w:t>
      </w:r>
      <w:r w:rsidR="00C06259">
        <w:rPr>
          <w:color w:val="0070C0"/>
        </w:rPr>
        <w:t>.</w:t>
      </w:r>
    </w:p>
    <w:p w:rsidR="00203DFC" w:rsidRDefault="00203DFC" w:rsidP="00203DFC">
      <w:pPr>
        <w:ind w:left="720"/>
        <w:rPr>
          <w:color w:val="0070C0"/>
        </w:rPr>
      </w:pPr>
      <w:r>
        <w:rPr>
          <w:b/>
          <w:color w:val="0070C0"/>
        </w:rPr>
        <w:t>GT_PLOT_SHEETS</w:t>
      </w:r>
      <w:r>
        <w:rPr>
          <w:color w:val="0070C0"/>
        </w:rPr>
        <w:t xml:space="preserve"> – Defines the different sheet names, sizes and their dimension.</w:t>
      </w:r>
    </w:p>
    <w:p w:rsidR="00203DFC" w:rsidRDefault="00203DFC" w:rsidP="00203DFC">
      <w:pPr>
        <w:ind w:left="720"/>
        <w:rPr>
          <w:color w:val="0070C0"/>
        </w:rPr>
      </w:pPr>
      <w:r>
        <w:rPr>
          <w:b/>
          <w:color w:val="0070C0"/>
        </w:rPr>
        <w:t>GT_PLOT_DRAWINGINFO</w:t>
      </w:r>
      <w:r>
        <w:rPr>
          <w:color w:val="0070C0"/>
        </w:rPr>
        <w:t xml:space="preserve"> – Defines each drawing type with each sheet definition</w:t>
      </w:r>
      <w:r w:rsidR="00DD57B8">
        <w:rPr>
          <w:color w:val="0070C0"/>
        </w:rPr>
        <w:t>, default scale</w:t>
      </w:r>
      <w:r>
        <w:rPr>
          <w:color w:val="0070C0"/>
        </w:rPr>
        <w:t xml:space="preserve"> and inset defining the plot border.</w:t>
      </w:r>
    </w:p>
    <w:p w:rsidR="00203DFC" w:rsidRDefault="00203DFC" w:rsidP="00203DFC">
      <w:pPr>
        <w:ind w:left="720"/>
        <w:rPr>
          <w:color w:val="0070C0"/>
        </w:rPr>
      </w:pPr>
      <w:r>
        <w:rPr>
          <w:b/>
          <w:color w:val="0070C0"/>
        </w:rPr>
        <w:t>GT_PLOT_GROUPS_DRI</w:t>
      </w:r>
      <w:r>
        <w:rPr>
          <w:color w:val="0070C0"/>
        </w:rPr>
        <w:t xml:space="preserve"> – Defines the redlines, mapframes and OLE object to include for each drawing type along with the placement of each.</w:t>
      </w:r>
    </w:p>
    <w:p w:rsidR="00203DFC" w:rsidRDefault="00203DFC" w:rsidP="00203DFC">
      <w:pPr>
        <w:ind w:left="720"/>
        <w:rPr>
          <w:color w:val="0070C0"/>
        </w:rPr>
      </w:pPr>
      <w:r>
        <w:rPr>
          <w:b/>
          <w:color w:val="0070C0"/>
        </w:rPr>
        <w:t>GT_PLOT_REDLINES</w:t>
      </w:r>
      <w:r>
        <w:rPr>
          <w:color w:val="0070C0"/>
        </w:rPr>
        <w:t xml:space="preserve"> – Defines groups of redlines (Title Block, Revision History, Legend, Source Document Info)</w:t>
      </w:r>
    </w:p>
    <w:p w:rsidR="00203DFC" w:rsidRDefault="00203DFC" w:rsidP="00203DFC">
      <w:pPr>
        <w:ind w:left="720"/>
        <w:rPr>
          <w:color w:val="0070C0"/>
        </w:rPr>
      </w:pPr>
      <w:r>
        <w:rPr>
          <w:b/>
          <w:color w:val="0070C0"/>
        </w:rPr>
        <w:t>GT_PLOT_MAPFRAME</w:t>
      </w:r>
      <w:r>
        <w:rPr>
          <w:color w:val="0070C0"/>
        </w:rPr>
        <w:t xml:space="preserve"> – Defines Map frame and Keymap size, location</w:t>
      </w:r>
      <w:r w:rsidR="00A922C5">
        <w:rPr>
          <w:color w:val="0070C0"/>
        </w:rPr>
        <w:t xml:space="preserve"> and</w:t>
      </w:r>
      <w:r>
        <w:rPr>
          <w:color w:val="0070C0"/>
        </w:rPr>
        <w:t xml:space="preserve"> north arrow</w:t>
      </w:r>
    </w:p>
    <w:p w:rsidR="00203DFC" w:rsidRDefault="00203DFC" w:rsidP="00203DFC">
      <w:pPr>
        <w:ind w:left="720"/>
        <w:rPr>
          <w:color w:val="0070C0"/>
        </w:rPr>
      </w:pPr>
      <w:r>
        <w:rPr>
          <w:b/>
          <w:color w:val="0070C0"/>
        </w:rPr>
        <w:t>GT_PLOT_OBJECTS</w:t>
      </w:r>
      <w:r>
        <w:rPr>
          <w:color w:val="0070C0"/>
        </w:rPr>
        <w:t xml:space="preserve"> – Defines objects to be embedded into the plot</w:t>
      </w:r>
      <w:r w:rsidR="00FD4DFD">
        <w:rPr>
          <w:color w:val="0070C0"/>
        </w:rPr>
        <w:t xml:space="preserve"> (Logo)</w:t>
      </w:r>
    </w:p>
    <w:p w:rsidR="00203DFC" w:rsidRDefault="00203DFC" w:rsidP="00203DFC">
      <w:pPr>
        <w:rPr>
          <w:color w:val="0070C0"/>
        </w:rPr>
      </w:pPr>
    </w:p>
    <w:p w:rsidR="00203DFC" w:rsidRDefault="00203DFC" w:rsidP="00203DFC">
      <w:pPr>
        <w:rPr>
          <w:color w:val="0070C0"/>
        </w:rPr>
      </w:pPr>
    </w:p>
    <w:p w:rsidR="00203DFC" w:rsidRDefault="00203DFC" w:rsidP="00203DFC">
      <w:pPr>
        <w:rPr>
          <w:color w:val="0070C0"/>
        </w:rPr>
      </w:pPr>
    </w:p>
    <w:p w:rsidR="00203DFC" w:rsidRDefault="00203DFC" w:rsidP="00203DFC"/>
    <w:p w:rsidR="00203DFC" w:rsidRDefault="00203DFC" w:rsidP="00203DFC"/>
    <w:p w:rsidR="00996C7C" w:rsidRDefault="00B35E53" w:rsidP="00996C7C">
      <w:pPr>
        <w:pStyle w:val="Heading1"/>
      </w:pPr>
      <w:r w:rsidRPr="00B35E53">
        <w:lastRenderedPageBreak/>
        <w:t>GT_PLOT Metadata Tables ER Diagram</w:t>
      </w:r>
    </w:p>
    <w:p w:rsidR="00203DFC" w:rsidRDefault="00996C7C">
      <w:pPr>
        <w:spacing w:after="200" w:line="276" w:lineRule="auto"/>
        <w:rPr>
          <w:b/>
          <w:color w:val="0070C0"/>
          <w:sz w:val="28"/>
        </w:rPr>
      </w:pPr>
      <w:r>
        <w:rPr>
          <w:b/>
          <w:noProof/>
          <w:color w:val="0070C0"/>
          <w:sz w:val="28"/>
        </w:rPr>
        <w:drawing>
          <wp:inline distT="0" distB="0" distL="0" distR="0">
            <wp:extent cx="6143625" cy="536257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</w:rPr>
        <w:t xml:space="preserve"> </w:t>
      </w:r>
      <w:r w:rsidR="00203DFC">
        <w:rPr>
          <w:b/>
          <w:color w:val="0070C0"/>
          <w:sz w:val="28"/>
        </w:rPr>
        <w:br w:type="page"/>
      </w:r>
    </w:p>
    <w:p w:rsidR="00203DFC" w:rsidRDefault="00203DFC" w:rsidP="00203DFC">
      <w:pPr>
        <w:pStyle w:val="Heading1"/>
      </w:pPr>
      <w:r>
        <w:lastRenderedPageBreak/>
        <w:t>Sample GTPlot Metadata Tables</w:t>
      </w:r>
    </w:p>
    <w:p w:rsidR="00780C4B" w:rsidRDefault="00780C4B" w:rsidP="00780C4B">
      <w:pPr>
        <w:pStyle w:val="Heading2"/>
      </w:pPr>
      <w:r>
        <w:t>GT_PLOT_PARAMETER</w:t>
      </w:r>
    </w:p>
    <w:p w:rsidR="00780C4B" w:rsidRDefault="00FD44AF" w:rsidP="00780C4B">
      <w:r>
        <w:rPr>
          <w:color w:val="0070C0"/>
        </w:rPr>
        <w:t xml:space="preserve">Defines a number of </w:t>
      </w:r>
      <w:r w:rsidRPr="00FD44AF">
        <w:rPr>
          <w:color w:val="0070C0"/>
        </w:rPr>
        <w:t>paramet</w:t>
      </w:r>
      <w:r>
        <w:rPr>
          <w:color w:val="0070C0"/>
        </w:rPr>
        <w:t>ers used by the GTPlot software</w:t>
      </w:r>
      <w:r w:rsidR="00780C4B">
        <w:rPr>
          <w:color w:val="0070C0"/>
        </w:rPr>
        <w:br/>
      </w:r>
      <w:r>
        <w:rPr>
          <w:noProof/>
        </w:rPr>
        <w:drawing>
          <wp:inline distT="0" distB="0" distL="0" distR="0">
            <wp:extent cx="9144000" cy="28641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86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FC" w:rsidRDefault="00203DFC" w:rsidP="00203DFC">
      <w:pPr>
        <w:pStyle w:val="Heading2"/>
      </w:pPr>
      <w:r>
        <w:t>GT_PLOT_SHEETS</w:t>
      </w:r>
    </w:p>
    <w:p w:rsidR="00203DFC" w:rsidRDefault="00203DFC" w:rsidP="00203DFC">
      <w:pPr>
        <w:rPr>
          <w:color w:val="0070C0"/>
        </w:rPr>
      </w:pPr>
      <w:r>
        <w:rPr>
          <w:color w:val="0070C0"/>
        </w:rPr>
        <w:t>Defines the different sheet names, sizes and their dimension</w:t>
      </w:r>
    </w:p>
    <w:p w:rsidR="00203DFC" w:rsidRDefault="00203DFC" w:rsidP="00203DFC">
      <w:pPr>
        <w:rPr>
          <w:b/>
          <w:color w:val="0070C0"/>
        </w:rPr>
      </w:pPr>
      <w:r>
        <w:rPr>
          <w:noProof/>
        </w:rPr>
        <w:drawing>
          <wp:inline distT="0" distB="0" distL="0" distR="0">
            <wp:extent cx="4924425" cy="2714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FC" w:rsidRDefault="00203DFC" w:rsidP="00203DFC">
      <w:pPr>
        <w:rPr>
          <w:b/>
          <w:color w:val="0070C0"/>
        </w:rPr>
      </w:pPr>
    </w:p>
    <w:p w:rsidR="00203DFC" w:rsidRDefault="00203DFC" w:rsidP="00203DFC">
      <w:pPr>
        <w:pStyle w:val="Heading2"/>
      </w:pPr>
      <w:r>
        <w:t>GT_PLOT_DRAWINGINFO</w:t>
      </w:r>
    </w:p>
    <w:p w:rsidR="00203DFC" w:rsidRDefault="001739F1" w:rsidP="00203DFC">
      <w:pPr>
        <w:rPr>
          <w:color w:val="0070C0"/>
        </w:rPr>
      </w:pPr>
      <w:r>
        <w:rPr>
          <w:color w:val="0070C0"/>
        </w:rPr>
        <w:t>Defines each drawing type with each sheet definition, default scale and inset defining the plot border</w:t>
      </w:r>
    </w:p>
    <w:p w:rsidR="00203DFC" w:rsidRDefault="00203DFC" w:rsidP="00203DFC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7334250" cy="5238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FC" w:rsidRDefault="00203DFC" w:rsidP="00203DFC">
      <w:pPr>
        <w:rPr>
          <w:color w:val="0070C0"/>
        </w:rPr>
      </w:pPr>
    </w:p>
    <w:p w:rsidR="00203DFC" w:rsidRDefault="00203DFC">
      <w:pPr>
        <w:spacing w:after="200" w:line="276" w:lineRule="auto"/>
        <w:rPr>
          <w:b/>
          <w:color w:val="0070C0"/>
        </w:rPr>
      </w:pPr>
      <w:r>
        <w:rPr>
          <w:b/>
          <w:color w:val="0070C0"/>
        </w:rPr>
        <w:br w:type="page"/>
      </w:r>
    </w:p>
    <w:p w:rsidR="00203DFC" w:rsidRDefault="00203DFC" w:rsidP="00203DFC">
      <w:pPr>
        <w:pStyle w:val="Heading2"/>
      </w:pPr>
      <w:r>
        <w:lastRenderedPageBreak/>
        <w:t>GT_PLOT_GROUPS_DRI</w:t>
      </w:r>
    </w:p>
    <w:p w:rsidR="00203DFC" w:rsidRDefault="00203DFC" w:rsidP="00203DFC">
      <w:pPr>
        <w:rPr>
          <w:color w:val="0070C0"/>
        </w:rPr>
      </w:pPr>
      <w:r>
        <w:rPr>
          <w:color w:val="0070C0"/>
        </w:rPr>
        <w:t>Defines the redlines, mapframes and OLE object to include for each drawing type a</w:t>
      </w:r>
      <w:r w:rsidR="001739F1">
        <w:rPr>
          <w:color w:val="0070C0"/>
        </w:rPr>
        <w:t>long with the placement of each</w:t>
      </w:r>
    </w:p>
    <w:p w:rsidR="00203DFC" w:rsidRDefault="00203DFC" w:rsidP="00203DFC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6962775" cy="54292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FC" w:rsidRDefault="00203DFC" w:rsidP="00203DFC">
      <w:pPr>
        <w:rPr>
          <w:b/>
          <w:color w:val="0070C0"/>
        </w:rPr>
      </w:pPr>
    </w:p>
    <w:p w:rsidR="00203DFC" w:rsidRDefault="00203DFC">
      <w:pPr>
        <w:spacing w:after="200" w:line="276" w:lineRule="auto"/>
        <w:rPr>
          <w:b/>
          <w:color w:val="0070C0"/>
        </w:rPr>
      </w:pPr>
      <w:r>
        <w:rPr>
          <w:b/>
          <w:color w:val="0070C0"/>
        </w:rPr>
        <w:br w:type="page"/>
      </w:r>
    </w:p>
    <w:p w:rsidR="00203DFC" w:rsidRDefault="00203DFC" w:rsidP="00203DFC">
      <w:pPr>
        <w:pStyle w:val="Heading2"/>
      </w:pPr>
      <w:r>
        <w:lastRenderedPageBreak/>
        <w:t>GT_PLOT_REDLINES</w:t>
      </w:r>
    </w:p>
    <w:p w:rsidR="00203DFC" w:rsidRDefault="00203DFC" w:rsidP="00203DFC">
      <w:pPr>
        <w:rPr>
          <w:color w:val="0070C0"/>
        </w:rPr>
      </w:pPr>
      <w:r>
        <w:rPr>
          <w:color w:val="0070C0"/>
        </w:rPr>
        <w:t>Defines groups of redlines (Title Block, Revision History, Legend, Source Document Info)</w:t>
      </w:r>
    </w:p>
    <w:p w:rsidR="00203DFC" w:rsidRDefault="00203DFC" w:rsidP="00203DFC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8953500" cy="4630576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2095" cy="46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FC" w:rsidRDefault="00203DFC" w:rsidP="00203DFC">
      <w:pPr>
        <w:rPr>
          <w:b/>
          <w:color w:val="0070C0"/>
        </w:rPr>
      </w:pPr>
    </w:p>
    <w:p w:rsidR="00203DFC" w:rsidRDefault="00203DFC">
      <w:pPr>
        <w:spacing w:after="200" w:line="276" w:lineRule="auto"/>
        <w:rPr>
          <w:b/>
          <w:color w:val="0070C0"/>
        </w:rPr>
      </w:pPr>
      <w:r>
        <w:rPr>
          <w:b/>
          <w:color w:val="0070C0"/>
        </w:rPr>
        <w:br w:type="page"/>
      </w:r>
    </w:p>
    <w:p w:rsidR="00203DFC" w:rsidRDefault="00203DFC" w:rsidP="00203DFC">
      <w:pPr>
        <w:pStyle w:val="Heading2"/>
      </w:pPr>
      <w:r>
        <w:lastRenderedPageBreak/>
        <w:t>GT_PLOT_MAPFRAME</w:t>
      </w:r>
    </w:p>
    <w:p w:rsidR="00203DFC" w:rsidRDefault="00893052" w:rsidP="00203DFC">
      <w:pPr>
        <w:rPr>
          <w:color w:val="0070C0"/>
        </w:rPr>
      </w:pPr>
      <w:r>
        <w:rPr>
          <w:color w:val="0070C0"/>
        </w:rPr>
        <w:t>Defines Map frame and Keymap size, location and north arrow</w:t>
      </w:r>
    </w:p>
    <w:p w:rsidR="00203DFC" w:rsidRDefault="00203DFC" w:rsidP="00203DFC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8961354" cy="4156202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2939" cy="415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FC" w:rsidRDefault="00203DFC" w:rsidP="00203DFC">
      <w:pPr>
        <w:rPr>
          <w:b/>
          <w:color w:val="0070C0"/>
        </w:rPr>
      </w:pPr>
    </w:p>
    <w:p w:rsidR="00203DFC" w:rsidRDefault="00203DFC" w:rsidP="00203DFC">
      <w:pPr>
        <w:pStyle w:val="Heading2"/>
      </w:pPr>
      <w:r>
        <w:t>GT_PLOT_OBJECTS</w:t>
      </w:r>
    </w:p>
    <w:p w:rsidR="00203DFC" w:rsidRDefault="00203DFC" w:rsidP="00203DFC">
      <w:pPr>
        <w:rPr>
          <w:color w:val="0070C0"/>
        </w:rPr>
      </w:pPr>
      <w:r>
        <w:rPr>
          <w:color w:val="0070C0"/>
        </w:rPr>
        <w:t>Defines objects to be embedded into the plot</w:t>
      </w:r>
      <w:r w:rsidR="00EC61AA">
        <w:rPr>
          <w:color w:val="0070C0"/>
        </w:rPr>
        <w:t xml:space="preserve"> (Logo)</w:t>
      </w:r>
    </w:p>
    <w:p w:rsidR="00203DFC" w:rsidRDefault="00203DFC" w:rsidP="00203DFC">
      <w:r>
        <w:rPr>
          <w:noProof/>
        </w:rPr>
        <w:drawing>
          <wp:inline distT="0" distB="0" distL="0" distR="0">
            <wp:extent cx="9010650" cy="41530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32" cy="42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FC" w:rsidRDefault="00203DFC" w:rsidP="00203DFC"/>
    <w:p w:rsidR="00203DFC" w:rsidRDefault="00203DFC" w:rsidP="00203DFC"/>
    <w:p w:rsidR="00203DFC" w:rsidRDefault="00203DFC" w:rsidP="00203DFC">
      <w:pPr>
        <w:rPr>
          <w:rFonts w:ascii="Arial" w:eastAsiaTheme="minorEastAsia" w:hAnsi="Arial" w:cs="Arial"/>
          <w:noProof/>
          <w:color w:val="000081"/>
          <w:sz w:val="20"/>
          <w:szCs w:val="20"/>
        </w:rPr>
      </w:pPr>
      <w:bookmarkStart w:id="0" w:name="_MailAutoSig"/>
    </w:p>
    <w:bookmarkEnd w:id="0"/>
    <w:p w:rsidR="00203DFC" w:rsidRDefault="00203DFC" w:rsidP="00203DFC"/>
    <w:p w:rsidR="004844A1" w:rsidRDefault="004844A1"/>
    <w:sectPr w:rsidR="004844A1" w:rsidSect="00203D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B1080"/>
    <w:multiLevelType w:val="hybridMultilevel"/>
    <w:tmpl w:val="76A6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3DFC"/>
    <w:rsid w:val="000B52D3"/>
    <w:rsid w:val="001302BB"/>
    <w:rsid w:val="00150DB3"/>
    <w:rsid w:val="001736D7"/>
    <w:rsid w:val="001739F1"/>
    <w:rsid w:val="001B31E4"/>
    <w:rsid w:val="00203DFC"/>
    <w:rsid w:val="00206106"/>
    <w:rsid w:val="00221581"/>
    <w:rsid w:val="004844A1"/>
    <w:rsid w:val="005854FB"/>
    <w:rsid w:val="005E3F8D"/>
    <w:rsid w:val="00780C4B"/>
    <w:rsid w:val="008301CD"/>
    <w:rsid w:val="00893052"/>
    <w:rsid w:val="00911313"/>
    <w:rsid w:val="009160F8"/>
    <w:rsid w:val="00996C7C"/>
    <w:rsid w:val="00A522B1"/>
    <w:rsid w:val="00A82E34"/>
    <w:rsid w:val="00A922C5"/>
    <w:rsid w:val="00AC4460"/>
    <w:rsid w:val="00AE2177"/>
    <w:rsid w:val="00B27539"/>
    <w:rsid w:val="00B35E53"/>
    <w:rsid w:val="00B650F4"/>
    <w:rsid w:val="00B71436"/>
    <w:rsid w:val="00C06259"/>
    <w:rsid w:val="00C13D94"/>
    <w:rsid w:val="00C90E82"/>
    <w:rsid w:val="00CA64FD"/>
    <w:rsid w:val="00DD57B8"/>
    <w:rsid w:val="00EC61AA"/>
    <w:rsid w:val="00F23894"/>
    <w:rsid w:val="00FD44AF"/>
    <w:rsid w:val="00FD4DFD"/>
    <w:rsid w:val="00FE3410"/>
    <w:rsid w:val="00FE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D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DF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3D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D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3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3D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3D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3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287</Words>
  <Characters>1638</Characters>
  <Application>Microsoft Office Word</Application>
  <DocSecurity>0</DocSecurity>
  <Lines>13</Lines>
  <Paragraphs>3</Paragraphs>
  <ScaleCrop>false</ScaleCrop>
  <Company>Intergraph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padams</dc:creator>
  <cp:keywords/>
  <dc:description/>
  <cp:lastModifiedBy>padams</cp:lastModifiedBy>
  <cp:revision>36</cp:revision>
  <dcterms:created xsi:type="dcterms:W3CDTF">2010-04-29T15:36:00Z</dcterms:created>
  <dcterms:modified xsi:type="dcterms:W3CDTF">2010-06-08T22:42:00Z</dcterms:modified>
</cp:coreProperties>
</file>