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category: plan</w:t>
      </w:r>
    </w:p>
    <w:p>
      <w:r>
        <w:t xml:space="preserve">period: 2027 plan</w:t>
      </w:r>
    </w:p>
    <w:p>
      <w:r>
        <w:t xml:space="preserve">currency: RUB</w:t>
      </w:r>
    </w:p>
    <w:p>
      <w:r>
        <w:t xml:space="preserve">purpose: Synthetic workshop equipment</w:t>
      </w:r>
    </w:p>
    <w:p>
      <w:r>
        <w:t xml:space="preserve">assumptions: Production capacity increases by 20 percent</w:t>
      </w:r>
    </w:p>
    <w:p>
      <w:r>
        <w:t xml:space="preserve">risks: Customer payment delay and cost inflation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2026-10-16T20:28:37.430Z</dcterms:created>
  <dcterms:modified xsi:type="dcterms:W3CDTF">2026-10-16T20:28:37.430Z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