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 w:before="240"/>
      </w:pPr>
      <w:r>
        <w:rPr>
          <w:b/>
          <w:bCs/>
          <w:color w:val="1F525B"/>
          <w:spacing w:val="60"/>
          <w:sz w:val="18"/>
          <w:szCs w:val="18"/>
        </w:rPr>
        <w:t xml:space="preserve">VITLÍKISSTOVAN · RITLINGUR: 6 STIG TIL BETRI VITLÍKISNÝTSLU</w:t>
      </w:r>
    </w:p>
    <w:p>
      <w:pPr>
        <w:spacing w:after="100"/>
      </w:pPr>
      <w:r>
        <w:rPr>
          <w:rFonts w:ascii="Georgia" w:cs="Georgia" w:eastAsia="Georgia" w:hAnsi="Georgia"/>
          <w:color w:val="0A1F3D"/>
          <w:sz w:val="88"/>
          <w:szCs w:val="88"/>
        </w:rPr>
        <w:t xml:space="preserve">Vitlíki á arbeiðsplássinum:</w:t>
      </w:r>
    </w:p>
    <w:p>
      <w:pPr>
        <w:spacing w:after="600"/>
      </w:pPr>
      <w:r>
        <w:rPr>
          <w:rFonts w:ascii="Georgia" w:cs="Georgia" w:eastAsia="Georgia" w:hAnsi="Georgia"/>
          <w:i/>
          <w:iCs/>
          <w:color w:val="1F525B"/>
          <w:sz w:val="72"/>
          <w:szCs w:val="72"/>
        </w:rPr>
        <w:t xml:space="preserve">Hvat er best hjá stovnum at gera nú?</w:t>
      </w:r>
    </w:p>
    <w:p>
      <w:pPr>
        <w:pStyle w:val="BodyText"/>
        <w:spacing w:after="160"/>
      </w:pPr>
      <w:r>
        <w:t xml:space="preserve">Starvsfólk á føroyskum almennum arbeiðsplássum brúka longu vitlíki hvønn dag. Spurningurin er ikki, </w:t>
      </w:r>
      <w:r>
        <w:rPr>
          <w:i/>
          <w:iCs/>
        </w:rPr>
        <w:t xml:space="preserve">um</w:t>
      </w:r>
      <w:r>
        <w:t xml:space="preserve"> tað verður brúkt, men um nýtslan verður </w:t>
      </w:r>
      <w:r>
        <w:rPr>
          <w:b/>
          <w:bCs/>
        </w:rPr>
        <w:t xml:space="preserve">tilætlað, trygg og skipað</w:t>
      </w:r>
      <w:r>
        <w:t xml:space="preserve"> — ella duld og váðamikil.</w:t>
      </w:r>
    </w:p>
    <w:p>
      <w:pPr>
        <w:spacing w:before="600"/>
      </w:pPr>
    </w:p>
    <w:p>
      <w:pPr>
        <w:spacing w:after="80" w:before="240"/>
      </w:pPr>
      <w:r>
        <w:rPr>
          <w:b/>
          <w:bCs/>
          <w:color w:val="1F525B"/>
          <w:spacing w:val="60"/>
          <w:sz w:val="18"/>
          <w:szCs w:val="18"/>
        </w:rPr>
        <w:t xml:space="preserve">HVAT TÚ EIGUR AT VITA</w:t>
      </w:r>
    </w:p>
    <w:p>
      <w:pPr>
        <w:pStyle w:val="Heading2"/>
        <w:spacing w:after="160" w:before="80"/>
      </w:pPr>
      <w:r>
        <w:t xml:space="preserve">Skugga-vitlíki — tað, sum longu hendir</w:t>
      </w:r>
    </w:p>
    <w:p>
      <w:pPr>
        <w:pStyle w:val="BodyText"/>
        <w:spacing w:after="160"/>
      </w:pPr>
      <w:r>
        <w:t xml:space="preserve">Skuggavitlíki hendir, tá ið starvsfólk, oftast í góðari trúgv fyri at loysa eina uppgávu skjótari, líma tekstir inn í almenn vitlíkistól sum ChatGPT ella Gemini á telefonini ella telduni.</w:t>
      </w:r>
    </w:p>
    <w:p>
      <w:pPr>
        <w:pStyle w:val="BodyText"/>
        <w:spacing w:after="160"/>
      </w:pPr>
      <w:r>
        <w:t xml:space="preserve">Trupuleikin er at dáturnar sum oftast enda í ørðum londum og um hettar eru viðkvæmar dátur, so kemur hetta undir lógarbrot.</w:t>
      </w:r>
    </w:p>
    <w:p>
      <w:pPr>
        <w:pStyle w:val="Callout"/>
        <w:spacing w:after="200" w:before="120"/>
      </w:pPr>
      <w:r>
        <w:rPr>
          <w:i/>
          <w:iCs/>
        </w:rPr>
        <w:t xml:space="preserve">At bíða steðgar ikki nýtsluni — tað ger hana bara ósjónliga.</w:t>
      </w:r>
    </w:p>
    <w:p>
      <w:pPr>
        <w:spacing w:after="80" w:before="240"/>
      </w:pPr>
      <w:r>
        <w:rPr>
          <w:b/>
          <w:bCs/>
          <w:color w:val="1F525B"/>
          <w:spacing w:val="60"/>
          <w:sz w:val="18"/>
          <w:szCs w:val="18"/>
        </w:rPr>
        <w:t xml:space="preserve">HVÍ NÚ</w:t>
      </w:r>
    </w:p>
    <w:p>
      <w:pPr>
        <w:pStyle w:val="Heading2"/>
        <w:spacing w:after="160" w:before="80"/>
      </w:pPr>
      <w:r>
        <w:t xml:space="preserve">Hví eigur tú at gera okkurt nú?</w:t>
      </w:r>
    </w:p>
    <w:p>
      <w:pPr>
        <w:pStyle w:val="BodyText"/>
        <w:spacing w:after="160"/>
      </w:pPr>
      <w:r>
        <w:t xml:space="preserve">Nýtslan flytur seg nógv skjótari enn stovnsreglur og leiðsla megna at fylgja við. Og almennir stovnar arbeiða ofta við tilfari, sum krevur serliga umsorgan:</w:t>
      </w:r>
    </w:p>
    <w:p>
      <w:pPr>
        <w:pStyle w:val="ListParagraph"/>
        <w:pStyle w:val="BodyText"/>
        <w:numPr>
          <w:ilvl w:val="0"/>
          <w:numId w:val="1"/>
        </w:numPr>
        <w:spacing/>
      </w:pPr>
      <w:r>
        <w:t xml:space="preserve">Persónsdátur um borgarar</w:t>
      </w:r>
    </w:p>
    <w:p>
      <w:pPr>
        <w:pStyle w:val="ListParagraph"/>
        <w:pStyle w:val="BodyText"/>
        <w:numPr>
          <w:ilvl w:val="0"/>
          <w:numId w:val="1"/>
        </w:numPr>
        <w:spacing/>
      </w:pPr>
      <w:r>
        <w:t xml:space="preserve">Borgaramál og fyrispurningar</w:t>
      </w:r>
    </w:p>
    <w:p>
      <w:pPr>
        <w:pStyle w:val="ListParagraph"/>
        <w:pStyle w:val="BodyText"/>
        <w:numPr>
          <w:ilvl w:val="0"/>
          <w:numId w:val="1"/>
        </w:numPr>
        <w:spacing/>
      </w:pPr>
      <w:r>
        <w:t xml:space="preserve">Heilsudátur og viðkvæmar upplýsingar</w:t>
      </w:r>
    </w:p>
    <w:p>
      <w:pPr>
        <w:pStyle w:val="ListParagraph"/>
        <w:pStyle w:val="BodyText"/>
        <w:numPr>
          <w:ilvl w:val="0"/>
          <w:numId w:val="1"/>
        </w:numPr>
        <w:spacing/>
      </w:pPr>
      <w:r>
        <w:t xml:space="preserve">Innanhýsis samskifti og trúnaðarmál</w:t>
      </w:r>
    </w:p>
    <w:p>
      <w:pPr>
        <w:spacing w:after="80" w:before="240"/>
      </w:pPr>
      <w:r>
        <w:rPr>
          <w:b/>
          <w:bCs/>
          <w:color w:val="1F525B"/>
          <w:spacing w:val="60"/>
          <w:sz w:val="18"/>
          <w:szCs w:val="18"/>
        </w:rPr>
        <w:t xml:space="preserve">TRÍGGIR LEIKLUTIR</w:t>
      </w:r>
    </w:p>
    <w:p>
      <w:pPr>
        <w:pStyle w:val="Heading2"/>
        <w:spacing w:after="160" w:before="80"/>
      </w:pPr>
      <w:r>
        <w:t xml:space="preserve">Leiðsla, KT og starvsfólk — saman</w:t>
      </w:r>
    </w:p>
    <w:p>
      <w:pPr>
        <w:pStyle w:val="BodyText"/>
        <w:spacing w:after="160"/>
      </w:pPr>
      <w:r>
        <w:t xml:space="preserve">Fyri at fáa virði úr vitlíki, mugu tríggir leiklutir samstarva rætt.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0A1F3D"/>
          <w:sz w:val="26"/>
          <w:szCs w:val="26"/>
        </w:rPr>
        <w:t xml:space="preserve">Leiðslan</w:t>
      </w:r>
    </w:p>
    <w:p>
      <w:pPr>
        <w:pStyle w:val="BodyText"/>
        <w:spacing w:after="160"/>
      </w:pPr>
      <w:r>
        <w:t xml:space="preserve">Setur kós, tekur ábyrgd og vísur áhuge. Um leiðsla slett ikki skilur vitlíki, so er ringt at vinna tað veruliga virið.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0A1F3D"/>
          <w:sz w:val="26"/>
          <w:szCs w:val="26"/>
        </w:rPr>
        <w:t xml:space="preserve">KT</w:t>
      </w:r>
    </w:p>
    <w:p>
      <w:pPr>
        <w:pStyle w:val="BodyText"/>
        <w:spacing w:after="160"/>
      </w:pPr>
      <w:r>
        <w:t xml:space="preserve">Tryggjar karmarnar — trygg amboð, dátuvernd og yvurlit yvur vitlíki á tykkara stovni.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0A1F3D"/>
          <w:sz w:val="26"/>
          <w:szCs w:val="26"/>
        </w:rPr>
        <w:t xml:space="preserve">Starvsfólkini</w:t>
      </w:r>
    </w:p>
    <w:p>
      <w:pPr>
        <w:pStyle w:val="BodyText"/>
        <w:spacing w:after="160"/>
      </w:pPr>
      <w:r>
        <w:t xml:space="preserve">Kenna gerandisarbeiðið, hava serfrøðina og finna, hvar tól veruliga lætta um byrðuna.</w:t>
      </w:r>
    </w:p>
    <w:p>
      <w:pPr>
        <w:spacing w:after="80" w:before="240"/>
      </w:pPr>
      <w:r>
        <w:rPr>
          <w:b/>
          <w:bCs/>
          <w:color w:val="1F525B"/>
          <w:spacing w:val="60"/>
          <w:sz w:val="18"/>
          <w:szCs w:val="18"/>
        </w:rPr>
        <w:t xml:space="preserve">VEGURIN FRAMM</w:t>
      </w:r>
    </w:p>
    <w:p>
      <w:pPr>
        <w:pStyle w:val="Heading2"/>
        <w:spacing w:after="160" w:before="80"/>
      </w:pPr>
      <w:r>
        <w:t xml:space="preserve">6 stig til trygga og skipaða nýtslu</w:t>
      </w:r>
    </w:p>
    <w:p>
      <w:pPr>
        <w:pStyle w:val="BodyText"/>
        <w:spacing w:after="160"/>
      </w:pPr>
      <w:r>
        <w:t xml:space="preserve">Leiðslan kann fylgja hesum seks stigum fyri at fáa eina skipaða byrjan.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0A1F3D"/>
          <w:sz w:val="28"/>
          <w:szCs w:val="28"/>
        </w:rPr>
        <w:t xml:space="preserve">01. Gerið vitlíki til eina leiðsluábyrgd</w:t>
      </w:r>
    </w:p>
    <w:p>
      <w:pPr>
        <w:pStyle w:val="BodyText"/>
        <w:spacing w:after="160"/>
      </w:pPr>
      <w:r>
        <w:t xml:space="preserve">Leiðslan má taka eigaraskap. Hetta kann ikki bara latast í hendurnar á KT-deildini ella verða tilvildarligar royndir hjá einstøkum starvsfólkum.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0A1F3D"/>
          <w:sz w:val="28"/>
          <w:szCs w:val="28"/>
        </w:rPr>
        <w:t xml:space="preserve">02. Kanni hvat longu hendir</w:t>
      </w:r>
    </w:p>
    <w:p>
      <w:pPr>
        <w:pStyle w:val="BodyText"/>
        <w:spacing w:after="160"/>
      </w:pPr>
      <w:r>
        <w:t xml:space="preserve">Fáið eina veruliga mynd av, hvussu fólk longu brúka vitlíki í arbeiðinum.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0A1F3D"/>
          <w:sz w:val="28"/>
          <w:szCs w:val="28"/>
        </w:rPr>
        <w:t xml:space="preserve">03. Setið tryggar og gagnligar karmar</w:t>
      </w:r>
    </w:p>
    <w:p>
      <w:pPr>
        <w:pStyle w:val="BodyText"/>
        <w:spacing w:after="160"/>
      </w:pPr>
      <w:r>
        <w:t xml:space="preserve">Sigið ikki bara, hvat fólk ikki mugu gera. Setið eisini eitt mál fyri hvat skal gerast.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0A1F3D"/>
          <w:sz w:val="28"/>
          <w:szCs w:val="28"/>
        </w:rPr>
        <w:t xml:space="preserve">04. Gevið fólki góð amboð</w:t>
      </w:r>
    </w:p>
    <w:p>
      <w:pPr>
        <w:pStyle w:val="BodyText"/>
        <w:spacing w:after="160"/>
      </w:pPr>
      <w:r>
        <w:t xml:space="preserve">Ikki bara trygg, men eisini nóg góð amboð til at tey eru hjálpsam fyri starvsfólki.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0A1F3D"/>
          <w:sz w:val="28"/>
          <w:szCs w:val="28"/>
        </w:rPr>
        <w:t xml:space="preserve">05. Skapið rúm fyri regluligari læring</w:t>
      </w:r>
    </w:p>
    <w:p>
      <w:pPr>
        <w:pStyle w:val="BodyText"/>
        <w:spacing w:after="160"/>
      </w:pPr>
      <w:r>
        <w:t xml:space="preserve">Fólk hava tørv á at vita, at tey sleppa at royna seg fram við vitlíki, og at tað er í lagi at nýta vitlíki til veruligt arbeiði.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0A1F3D"/>
          <w:sz w:val="28"/>
          <w:szCs w:val="28"/>
        </w:rPr>
        <w:t xml:space="preserve">06. Skiljið vitlíki nóg væl til at leiða</w:t>
      </w:r>
    </w:p>
    <w:p>
      <w:pPr>
        <w:pStyle w:val="BodyText"/>
        <w:spacing w:after="160"/>
      </w:pPr>
      <w:r>
        <w:t xml:space="preserve">Leiðarar skulu ikki gerast tøkniligir serfrøðingar. Men teir mugu skilja nóg mikið um vitlíki til at kunna seta teir rættu spurningarnar, síggja møguleikar og mørk, og taka betri avgerðir.</w:t>
      </w:r>
    </w:p>
    <w:p>
      <w:pPr>
        <w:spacing w:after="80" w:before="240"/>
      </w:pPr>
      <w:r>
        <w:rPr>
          <w:b/>
          <w:bCs/>
          <w:color w:val="1F525B"/>
          <w:spacing w:val="60"/>
          <w:sz w:val="18"/>
          <w:szCs w:val="18"/>
        </w:rPr>
        <w:t xml:space="preserve">TIL LEIÐSLUNA</w:t>
      </w:r>
    </w:p>
    <w:p>
      <w:pPr>
        <w:pStyle w:val="Heading2"/>
        <w:spacing w:after="160" w:before="80"/>
      </w:pPr>
      <w:r>
        <w:t xml:space="preserve">Hví leiðarar eiga skilja vitlíki</w:t>
      </w:r>
    </w:p>
    <w:p>
      <w:pPr>
        <w:pStyle w:val="ListParagraph"/>
        <w:pStyle w:val="BodyText"/>
        <w:numPr>
          <w:ilvl w:val="0"/>
          <w:numId w:val="1"/>
        </w:numPr>
        <w:spacing/>
      </w:pPr>
      <w:r>
        <w:t xml:space="preserve">Vitlíki kann ljóða sannførandi, hóast tað tekur feil. Leiðslan má skilja, hví menniskjalig eftirkanning altíð er krav.</w:t>
      </w:r>
    </w:p>
    <w:p>
      <w:pPr>
        <w:pStyle w:val="ListParagraph"/>
        <w:pStyle w:val="BodyText"/>
        <w:numPr>
          <w:ilvl w:val="0"/>
          <w:numId w:val="1"/>
        </w:numPr>
        <w:spacing/>
      </w:pPr>
      <w:r>
        <w:t xml:space="preserve">Fólk hava ymiskan hugburðar til vitlíki, tað er umráðandi at duga at rúma hendan ymiskleikan.</w:t>
      </w:r>
    </w:p>
    <w:p>
      <w:pPr>
        <w:spacing w:after="80" w:before="240"/>
      </w:pPr>
      <w:r>
        <w:rPr>
          <w:b/>
          <w:bCs/>
          <w:color w:val="1F525B"/>
          <w:spacing w:val="60"/>
          <w:sz w:val="18"/>
          <w:szCs w:val="18"/>
        </w:rPr>
        <w:t xml:space="preserve">HJÁLP TIL AT KOMA Í GONGD</w:t>
      </w:r>
    </w:p>
    <w:p>
      <w:pPr>
        <w:pStyle w:val="Heading2"/>
        <w:spacing w:after="160" w:before="80"/>
      </w:pPr>
      <w:r>
        <w:t xml:space="preserve">Hvussu Vitlíkisstovan kann hjálpa tykkum</w:t>
      </w:r>
    </w:p>
    <w:p>
      <w:pPr>
        <w:pStyle w:val="BodyText"/>
        <w:spacing w:after="160"/>
      </w:pPr>
      <w:r>
        <w:t xml:space="preserve">Vit hjálpa føroyskar stovnum við praktiskari og tryggari nýtslu av vitlíki — uttan óneyðugar fløkjutar forkláringar.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0A1F3D"/>
          <w:sz w:val="28"/>
          <w:szCs w:val="28"/>
        </w:rPr>
        <w:t xml:space="preserve">01  Verkstovur</w:t>
      </w:r>
    </w:p>
    <w:p>
      <w:pPr>
        <w:pStyle w:val="BodyText"/>
        <w:spacing w:after="160"/>
      </w:pPr>
      <w:r>
        <w:t xml:space="preserve">Handaligar verkstovur til leiðslur og starvsfólk — tryggari nýtsla og meira virið.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0A1F3D"/>
          <w:sz w:val="28"/>
          <w:szCs w:val="28"/>
        </w:rPr>
        <w:t xml:space="preserve">02  Ráðgeving</w:t>
      </w:r>
    </w:p>
    <w:p>
      <w:pPr>
        <w:pStyle w:val="BodyText"/>
        <w:spacing w:after="160"/>
      </w:pPr>
      <w:r>
        <w:t xml:space="preserve">Strategisk sparring um kós, ábyrgdarbýti, dátuvernd og trygdarmørk.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0A1F3D"/>
          <w:sz w:val="28"/>
          <w:szCs w:val="28"/>
        </w:rPr>
        <w:t xml:space="preserve">03  Framløgur</w:t>
      </w:r>
    </w:p>
    <w:p>
      <w:pPr>
        <w:pStyle w:val="BodyText"/>
        <w:spacing w:after="160"/>
      </w:pPr>
      <w:r>
        <w:t xml:space="preserve">Hugkveikjandi framløgur um vitlíki á arbeiðsplássinum.</w:t>
      </w:r>
    </w:p>
    <w:p>
      <w:pPr>
        <w:spacing w:after="80" w:before="240"/>
      </w:pPr>
      <w:r>
        <w:rPr>
          <w:b/>
          <w:bCs/>
          <w:color w:val="1F525B"/>
          <w:spacing w:val="60"/>
          <w:sz w:val="18"/>
          <w:szCs w:val="18"/>
        </w:rPr>
        <w:t xml:space="preserve">NÆSTA STIG</w:t>
      </w:r>
    </w:p>
    <w:p>
      <w:pPr>
        <w:pStyle w:val="Heading2"/>
        <w:spacing w:after="160" w:before="80"/>
      </w:pPr>
      <w:r>
        <w:t xml:space="preserve">Tilreiðar at taka fyrsta stigið?</w:t>
      </w:r>
    </w:p>
    <w:p>
      <w:pPr>
        <w:pStyle w:val="BodyText"/>
        <w:spacing w:after="160"/>
      </w:pPr>
      <w:r>
        <w:t xml:space="preserve">Lesið ritlingin, ella bókið pláss á leiðsluverkstovuni, har vit hjálpa tykkum at finna fram til tykkara egnu kós.</w:t>
      </w:r>
    </w:p>
    <w:p>
      <w:pPr>
        <w:spacing w:before="240"/>
      </w:pPr>
      <w:r>
        <w:rPr>
          <w:color w:val="1F525B"/>
        </w:rPr>
        <w:t xml:space="preserve">info@vitlikisstovan.fo</w:t>
      </w:r>
      <w:r>
        <w:rPr>
          <w:color w:val="5A6B82"/>
        </w:rPr>
        <w:t xml:space="preserve">    ·    </w:t>
      </w:r>
      <w:r>
        <w:rPr>
          <w:color w:val="1F525B"/>
        </w:rPr>
        <w:t xml:space="preserve">+298 919 444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82"/>
        <w:sz w:val="18"/>
        <w:szCs w:val="18"/>
      </w:rPr>
      <w:t xml:space="preserve">Síða </w:t>
    </w:r>
    <w:r>
      <w:rPr>
        <w:color w:val="5A6B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6B82"/>
        <w:sz w:val="18"/>
        <w:szCs w:val="18"/>
      </w:rPr>
      <w:t xml:space="preserve"> av </w:t>
    </w:r>
    <w:r>
      <w:rPr>
        <w:color w:val="5A6B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5A6B82"/>
        <w:spacing w:val="40"/>
        <w:sz w:val="18"/>
        <w:szCs w:val="18"/>
      </w:rPr>
      <w:t xml:space="preserve">Vitlíkisstovan · Ritlingur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pPr>
      <w:spacing w:after="300"/>
      <w:jc w:val="left"/>
    </w:pPr>
    <w:rPr>
      <w:rFonts w:ascii="Georgia" w:cs="Georgia" w:eastAsia="Georgia" w:hAnsi="Georgia"/>
      <w:b w:val="false"/>
      <w:bCs w:val="false"/>
      <w:color w:val="0A1F3D"/>
      <w:sz w:val="88"/>
      <w:szCs w:val="88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Georgia" w:cs="Georgia" w:eastAsia="Georgia" w:hAnsi="Georgia"/>
      <w:b w:val="false"/>
      <w:bCs w:val="false"/>
      <w:color w:val="0A1F3D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 w:val="false"/>
      <w:bCs w:val="false"/>
      <w:color w:val="0A1F3D"/>
      <w:sz w:val="36"/>
      <w:szCs w:val="3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next w:val="BodyText"/>
    <w:qFormat/>
    <w:pPr>
      <w:spacing w:after="160" w:line="320"/>
    </w:pPr>
    <w:rPr>
      <w:rFonts w:ascii="Calibri" w:cs="Calibri" w:eastAsia="Calibri" w:hAnsi="Calibri"/>
      <w:color w:val="1F2937"/>
      <w:sz w:val="22"/>
      <w:szCs w:val="22"/>
    </w:rPr>
  </w:style>
  <w:style w:type="paragraph" w:styleId="Callout">
    <w:name w:val="Callout"/>
    <w:basedOn w:val="Normal"/>
    <w:next w:val="BodyText"/>
    <w:qFormat/>
    <w:pPr>
      <w:spacing w:after="200" w:before="200" w:line="320"/>
      <w:ind w:left="360" w:right="360"/>
    </w:pPr>
    <w:rPr>
      <w:rFonts w:ascii="Calibri" w:cs="Calibri" w:eastAsia="Calibri" w:hAnsi="Calibri"/>
      <w:i/>
      <w:iCs/>
      <w:color w:val="1F525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Vitlíki á arbeiðsplássinum</dc:title>
  <dc:creator>Vitlíkisstovan</dc:creator>
  <dc:description>Ritlingur: 6 stig til betri vitlíkisnýtslu</dc:description>
  <cp:lastModifiedBy>Un-named</cp:lastModifiedBy>
  <cp:revision>1</cp:revision>
  <dcterms:created xsi:type="dcterms:W3CDTF">2026-05-28T10:08:19.869Z</dcterms:created>
  <dcterms:modified xsi:type="dcterms:W3CDTF">2026-05-28T10:08:19.871Z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